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0" w:lineRule="atLeast"/>
        <w:jc w:val="center"/>
        <w:rPr>
          <w:rFonts w:hint="eastAsia" w:ascii="ＭＳ ゴシック" w:hAnsi="ＭＳ ゴシック" w:eastAsia="ＭＳ ゴシック"/>
          <w:b w:val="1"/>
          <w:color w:val="000000" w:themeColor="text1"/>
          <w:sz w:val="32"/>
        </w:rPr>
      </w:pPr>
      <w:r>
        <w:rPr>
          <w:rFonts w:hint="eastAsia" w:ascii="ＭＳ ゴシック" w:hAnsi="ＭＳ ゴシック" w:eastAsia="ＭＳ ゴシック"/>
          <w:b w:val="1"/>
          <w:color w:val="000000" w:themeColor="text1"/>
          <w:sz w:val="32"/>
        </w:rPr>
        <w:t>令和</w:t>
      </w:r>
      <w:bookmarkStart w:id="0" w:name="_GoBack"/>
      <w:bookmarkEnd w:id="0"/>
      <w:r>
        <w:rPr>
          <w:rFonts w:hint="eastAsia" w:ascii="ＭＳ ゴシック" w:hAnsi="ＭＳ ゴシック" w:eastAsia="ＭＳ ゴシック"/>
          <w:b w:val="1"/>
          <w:color w:val="000000" w:themeColor="text1"/>
          <w:sz w:val="32"/>
        </w:rPr>
        <w:t>６年度地域密着型サービス整備運営事業者募集要項</w:t>
      </w:r>
    </w:p>
    <w:p>
      <w:pPr>
        <w:pStyle w:val="0"/>
        <w:spacing w:line="0" w:lineRule="atLeast"/>
        <w:jc w:val="center"/>
        <w:rPr>
          <w:rFonts w:hint="eastAsia" w:ascii="ＭＳ ゴシック" w:hAnsi="ＭＳ ゴシック" w:eastAsia="ＭＳ ゴシック"/>
          <w:b w:val="1"/>
          <w:color w:val="000000" w:themeColor="text1"/>
          <w:sz w:val="32"/>
        </w:rPr>
      </w:pPr>
      <w:r>
        <w:rPr>
          <w:rFonts w:hint="eastAsia" w:ascii="ＭＳ ゴシック" w:hAnsi="ＭＳ ゴシック" w:eastAsia="ＭＳ ゴシック"/>
          <w:b w:val="1"/>
          <w:color w:val="000000" w:themeColor="text1"/>
          <w:sz w:val="32"/>
        </w:rPr>
        <w:t>（地域密着型介護老人福祉施設入所者生活介護）</w:t>
      </w:r>
    </w:p>
    <w:p>
      <w:pPr>
        <w:pStyle w:val="0"/>
        <w:rPr>
          <w:rFonts w:hint="eastAsia" w:ascii="ＭＳ ゴシック" w:hAnsi="ＭＳ ゴシック" w:eastAsia="ＭＳ ゴシック"/>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１　募集の趣旨</w:t>
      </w:r>
    </w:p>
    <w:p>
      <w:pPr>
        <w:pStyle w:val="0"/>
        <w:ind w:left="210" w:leftChars="1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廿日市市では、高齢者が介護を必要とする状態になっても、住み慣れた地域で安心して暮らせるよう、第９期介護保険事業計画（令和６年度～８年度）に基づき、地域密着型サービスを計画的に整備します。</w:t>
      </w:r>
    </w:p>
    <w:p>
      <w:pPr>
        <w:pStyle w:val="0"/>
        <w:ind w:left="210" w:leftChars="1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この募集は、新たに地域密着型サービスを整備運営する事業者（以下「</w:t>
      </w:r>
      <w:r>
        <w:rPr>
          <w:rFonts w:hint="eastAsia" w:ascii="ＭＳ ゴシック" w:hAnsi="ＭＳ ゴシック" w:eastAsia="ＭＳ ゴシック"/>
          <w:color w:val="000000" w:themeColor="text1"/>
          <w:highlight w:val="none"/>
        </w:rPr>
        <w:t>設置運営事業者</w:t>
      </w:r>
      <w:r>
        <w:rPr>
          <w:rFonts w:hint="eastAsia" w:ascii="ＭＳ ゴシック" w:hAnsi="ＭＳ ゴシック" w:eastAsia="ＭＳ ゴシック"/>
          <w:color w:val="000000" w:themeColor="text1"/>
        </w:rPr>
        <w:t>」という。）を選定するために行うものです。</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w:t>
      </w:r>
    </w:p>
    <w:tbl>
      <w:tblPr>
        <w:tblStyle w:val="44"/>
        <w:tblpPr w:leftFromText="0" w:rightFromText="0" w:topFromText="0" w:bottomFromText="0" w:vertAnchor="text" w:horzAnchor="margin" w:tblpX="134" w:tblpY="325"/>
        <w:tblOverlap w:val="never"/>
        <w:tblW w:w="0" w:type="auto"/>
        <w:tblLayout w:type="fixed"/>
        <w:tblLook w:firstRow="1" w:lastRow="0" w:firstColumn="1" w:lastColumn="0" w:noHBand="0" w:noVBand="1" w:val="04A0"/>
      </w:tblPr>
      <w:tblGrid>
        <w:gridCol w:w="3780"/>
        <w:gridCol w:w="1890"/>
        <w:gridCol w:w="1470"/>
        <w:gridCol w:w="1967"/>
      </w:tblGrid>
      <w:tr>
        <w:trPr/>
        <w:tc>
          <w:tcPr>
            <w:tcW w:w="378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募集するサービス</w:t>
            </w:r>
          </w:p>
        </w:tc>
        <w:tc>
          <w:tcPr>
            <w:tcW w:w="189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募集圏域</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募集箇所数</w:t>
            </w:r>
          </w:p>
        </w:tc>
        <w:tc>
          <w:tcPr>
            <w:tcW w:w="196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開設時期</w:t>
            </w:r>
          </w:p>
        </w:tc>
      </w:tr>
      <w:tr>
        <w:trPr>
          <w:trHeight w:val="1170" w:hRule="atLeast"/>
        </w:trPr>
        <w:tc>
          <w:tcPr>
            <w:tcW w:w="3780" w:type="dxa"/>
            <w:vAlign w:val="center"/>
          </w:tcPr>
          <w:p>
            <w:pPr>
              <w:pStyle w:val="0"/>
              <w:rPr>
                <w:rFonts w:hint="eastAsia" w:ascii="ＭＳ ゴシック" w:hAnsi="ＭＳ ゴシック" w:eastAsia="ＭＳ ゴシック"/>
              </w:rPr>
            </w:pPr>
            <w:r>
              <w:rPr>
                <w:rFonts w:hint="eastAsia" w:ascii="ＭＳ ゴシック" w:hAnsi="ＭＳ ゴシック" w:eastAsia="ＭＳ ゴシック"/>
              </w:rPr>
              <w:t>地域密着型介護老人福祉施設入所者生活介護</w:t>
            </w:r>
          </w:p>
        </w:tc>
        <w:tc>
          <w:tcPr>
            <w:tcW w:w="1890" w:type="dxa"/>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圏域指定なし</w:t>
            </w:r>
          </w:p>
        </w:tc>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ascii="ＭＳ ゴシック" w:hAnsi="ＭＳ ゴシック" w:eastAsia="ＭＳ ゴシック"/>
                <w:color w:val="auto"/>
              </w:rPr>
            </w:pPr>
            <w:r>
              <w:rPr>
                <w:rFonts w:hint="eastAsia" w:ascii="ＭＳ ゴシック" w:hAnsi="ＭＳ ゴシック" w:eastAsia="ＭＳ ゴシック"/>
                <w:color w:val="auto"/>
              </w:rPr>
              <w:t>１事業所</w:t>
            </w:r>
          </w:p>
        </w:tc>
        <w:tc>
          <w:tcPr>
            <w:tcW w:w="1967"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ゴシック" w:hAnsi="ＭＳ ゴシック" w:eastAsia="ＭＳ ゴシック"/>
                <w:color w:val="auto"/>
              </w:rPr>
            </w:pPr>
            <w:r>
              <w:rPr>
                <w:rFonts w:hint="eastAsia" w:ascii="ＭＳ ゴシック" w:hAnsi="ＭＳ ゴシック" w:eastAsia="ＭＳ ゴシック"/>
                <w:color w:val="auto"/>
              </w:rPr>
              <w:t>令和９年４月１日までに開設</w:t>
            </w:r>
          </w:p>
        </w:tc>
      </w:tr>
    </w:tbl>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２　募集を行うサービス等</w:t>
      </w:r>
    </w:p>
    <w:p>
      <w:pPr>
        <w:pStyle w:val="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３　応募要件</w:t>
      </w:r>
    </w:p>
    <w:p>
      <w:pPr>
        <w:pStyle w:val="0"/>
        <w:ind w:leftChars="0" w:hanging="210" w:hanging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　　</w:t>
      </w:r>
      <w:r>
        <w:rPr>
          <w:rFonts w:hint="eastAsia" w:ascii="ＭＳ ゴシック" w:hAnsi="ＭＳ ゴシック" w:eastAsia="ＭＳ ゴシック"/>
          <w:b w:val="0"/>
          <w:color w:val="000000" w:themeColor="text1"/>
        </w:rPr>
        <w:t>次の全ての要件を満たしている</w:t>
      </w:r>
      <w:r>
        <w:rPr>
          <w:rFonts w:hint="eastAsia" w:ascii="ＭＳ ゴシック" w:hAnsi="ＭＳ ゴシック" w:eastAsia="ＭＳ ゴシック"/>
          <w:b w:val="0"/>
          <w:color w:val="000000" w:themeColor="text1"/>
          <w:u w:val="none" w:color="000000"/>
        </w:rPr>
        <w:t>社会福祉法人</w:t>
      </w:r>
      <w:r>
        <w:rPr>
          <w:rFonts w:hint="eastAsia" w:ascii="ＭＳ ゴシック" w:hAnsi="ＭＳ ゴシック" w:eastAsia="ＭＳ ゴシック"/>
          <w:b w:val="0"/>
          <w:color w:val="000000" w:themeColor="text1"/>
        </w:rPr>
        <w:t>であることが条件です。全てを満たしていない場合は欠格となり、選定の対象外となります。</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(1)</w:t>
      </w:r>
      <w:r>
        <w:rPr>
          <w:rFonts w:hint="eastAsia" w:ascii="ＭＳ ゴシック" w:hAnsi="ＭＳ ゴシック" w:eastAsia="ＭＳ ゴシック"/>
          <w:b w:val="0"/>
          <w:color w:val="000000" w:themeColor="text1"/>
        </w:rPr>
        <w:t>　介護保険法第７８条の２第４項各号に該当しない法人であること</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(2)</w:t>
      </w:r>
      <w:r>
        <w:rPr>
          <w:rFonts w:hint="eastAsia" w:ascii="ＭＳ ゴシック" w:hAnsi="ＭＳ ゴシック" w:eastAsia="ＭＳ ゴシック"/>
          <w:b w:val="0"/>
          <w:color w:val="000000" w:themeColor="text1"/>
        </w:rPr>
        <w:t>　廿日市市指定地域密着型サービスの事業の人員、設備及び運営に関する基準を定める条例（平成２４年条例第２７号）等介護保険関係の基準等を満たし、その他関連する法令等にも適合していること。</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(3)</w:t>
      </w:r>
      <w:r>
        <w:rPr>
          <w:rFonts w:hint="eastAsia" w:ascii="ＭＳ ゴシック" w:hAnsi="ＭＳ ゴシック" w:eastAsia="ＭＳ ゴシック"/>
          <w:b w:val="0"/>
          <w:color w:val="000000" w:themeColor="text1"/>
        </w:rPr>
        <w:t>　同法人（事業所）で施設の整備及び事業の運営を行うこと。</w:t>
      </w:r>
    </w:p>
    <w:p>
      <w:pPr>
        <w:pStyle w:val="0"/>
        <w:ind w:left="420" w:leftChars="50" w:hanging="315" w:hangingChars="15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(4)</w:t>
      </w:r>
      <w:r>
        <w:rPr>
          <w:rFonts w:hint="eastAsia" w:ascii="ＭＳ ゴシック" w:hAnsi="ＭＳ ゴシック" w:eastAsia="ＭＳ ゴシック"/>
          <w:b w:val="0"/>
          <w:color w:val="000000" w:themeColor="text1"/>
        </w:rPr>
        <w:t>　次の事項に該当していないこと。</w:t>
      </w:r>
    </w:p>
    <w:p>
      <w:pPr>
        <w:pStyle w:val="0"/>
        <w:ind w:left="420" w:leftChars="200" w:firstLine="0" w:firstLineChars="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①　市税を滞納している者</w:t>
      </w:r>
    </w:p>
    <w:p>
      <w:pPr>
        <w:pStyle w:val="0"/>
        <w:ind w:left="630" w:leftChars="200" w:hanging="210" w:hanging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②　地方自治法施行令（昭和２２年政令第１６号。以下「施行令」という。）第１６７条の４第１項の規定に該当する者</w:t>
      </w:r>
    </w:p>
    <w:p>
      <w:pPr>
        <w:pStyle w:val="0"/>
        <w:ind w:left="630" w:leftChars="200" w:hanging="210" w:hanging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③　施行令第１６７条の４第２項各号の規定に該当する者で、当該事実があった日から２年を経過していない者</w:t>
      </w:r>
    </w:p>
    <w:p>
      <w:pPr>
        <w:pStyle w:val="0"/>
        <w:ind w:left="0" w:leftChars="0" w:hanging="630" w:hangingChars="3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④　無差別大量殺人行為を行った団体の規制に関する法律（平成１１年法律第１４７号）の適用を受ける団体</w:t>
      </w:r>
    </w:p>
    <w:p>
      <w:pPr>
        <w:pStyle w:val="0"/>
        <w:ind w:left="0" w:leftChars="0" w:hanging="630" w:hangingChars="3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⑤　暴力団員による不当な行為の防止等に関する法律（平成３年法律第７７号）第２条第２号又は第６号に該当する者、広島県暴力団排除条例（平成２２年広島県条例第３７号）第１９条第３項の規定による公表が現に行われている者及び暴力団又は暴力団員と密接な関係を有する者</w:t>
      </w:r>
    </w:p>
    <w:p>
      <w:pPr>
        <w:pStyle w:val="0"/>
        <w:ind w:leftChars="0" w:hanging="420" w:hangingChars="2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xml:space="preserve"> </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４　応募手続</w:t>
      </w:r>
    </w:p>
    <w:p>
      <w:pPr>
        <w:pStyle w:val="0"/>
        <w:ind w:leftChars="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(1)</w:t>
      </w:r>
      <w:r>
        <w:rPr>
          <w:rFonts w:hint="eastAsia" w:ascii="ＭＳ ゴシック" w:hAnsi="ＭＳ ゴシック" w:eastAsia="ＭＳ ゴシック"/>
          <w:color w:val="000000" w:themeColor="text1"/>
        </w:rPr>
        <w:t>　応募書類の提出</w:t>
      </w:r>
    </w:p>
    <w:p>
      <w:pPr>
        <w:pStyle w:val="0"/>
        <w:ind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本公募の応募者は、受付期間中に、電話等であらかじめ予約の上、応募書類を直接持参してください。（原則、郵送等での提出は受け付けません。）</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提出時には、添付書類の不足、所定様式への記載漏れ等の形式審査のみ行います。一度提出された書類は返却しませんのでご了承ください。</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(2)  </w:t>
      </w:r>
      <w:r>
        <w:rPr>
          <w:rFonts w:hint="eastAsia" w:ascii="ＭＳ ゴシック" w:hAnsi="ＭＳ ゴシック" w:eastAsia="ＭＳ ゴシック"/>
          <w:color w:val="000000" w:themeColor="text1"/>
        </w:rPr>
        <w:t>受付期間及び受付場所</w:t>
      </w:r>
    </w:p>
    <w:tbl>
      <w:tblPr>
        <w:tblStyle w:val="44"/>
        <w:tblW w:w="0" w:type="auto"/>
        <w:tblInd w:w="415" w:type="dxa"/>
        <w:tblLayout w:type="fixed"/>
        <w:tblLook w:firstRow="1" w:lastRow="0" w:firstColumn="1" w:lastColumn="0" w:noHBand="0" w:noVBand="1" w:val="04A0"/>
      </w:tblPr>
      <w:tblGrid>
        <w:gridCol w:w="1890"/>
        <w:gridCol w:w="6765"/>
      </w:tblGrid>
      <w:tr>
        <w:trPr/>
        <w:tc>
          <w:tcPr>
            <w:tcW w:w="1890"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受付期間</w:t>
            </w:r>
          </w:p>
        </w:tc>
        <w:tc>
          <w:tcPr>
            <w:tcW w:w="6765"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令和６年１１月７日（木）から令和６年１２月６日（金）まで（土・日・祝日を除く）</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※受付期間を過ぎた場合は受付できませんので、ご注意ください。</w:t>
            </w:r>
          </w:p>
        </w:tc>
      </w:tr>
      <w:tr>
        <w:trPr/>
        <w:tc>
          <w:tcPr>
            <w:tcW w:w="1890"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受付時間</w:t>
            </w:r>
          </w:p>
        </w:tc>
        <w:tc>
          <w:tcPr>
            <w:tcW w:w="6765"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９時から１７時まで</w:t>
            </w:r>
          </w:p>
        </w:tc>
      </w:tr>
      <w:tr>
        <w:trPr/>
        <w:tc>
          <w:tcPr>
            <w:tcW w:w="1890"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受付場所</w:t>
            </w:r>
          </w:p>
        </w:tc>
        <w:tc>
          <w:tcPr>
            <w:tcW w:w="6765"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〒７３８－８５１２　廿日市市新宮一丁目１３番１号</w:t>
            </w:r>
          </w:p>
          <w:p>
            <w:pPr>
              <w:pStyle w:val="0"/>
              <w:ind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廿日市市健康福祉部高齢介護課　認定・指導係</w:t>
            </w:r>
          </w:p>
          <w:p>
            <w:pPr>
              <w:pStyle w:val="0"/>
              <w:ind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（山崎本社みんなのあいプラザ３階）</w:t>
            </w:r>
          </w:p>
        </w:tc>
      </w:tr>
    </w:tbl>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(3)</w:t>
      </w:r>
      <w:r>
        <w:rPr>
          <w:rFonts w:hint="eastAsia" w:ascii="ＭＳ ゴシック" w:hAnsi="ＭＳ ゴシック" w:eastAsia="ＭＳ ゴシック"/>
          <w:color w:val="000000" w:themeColor="text1"/>
        </w:rPr>
        <w:t>　提出書類の修正及び追加資料等の提出依頼</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応募書類について審査判定上の疑義が生じたときは、内容についての確認や応募書類の修正を依頼する場合があります。また、追加資料等の提出を求める場合がありますので、あらかじめご了承ください。</w:t>
      </w:r>
    </w:p>
    <w:p>
      <w:pPr>
        <w:pStyle w:val="0"/>
        <w:ind w:leftChars="0" w:firstLine="0" w:firstLineChars="0"/>
        <w:rPr>
          <w:rFonts w:hint="eastAsia" w:ascii="ＭＳ ゴシック" w:hAnsi="ＭＳ ゴシック" w:eastAsia="ＭＳ ゴシック"/>
          <w:color w:val="000000" w:themeColor="text1"/>
        </w:rPr>
      </w:pPr>
    </w:p>
    <w:p>
      <w:pPr>
        <w:pStyle w:val="0"/>
        <w:ind w:leftChars="0" w:firstLine="0" w:firstLineChars="0"/>
        <w:rPr>
          <w:rFonts w:hint="eastAsia" w:ascii="ＭＳ ゴシック" w:hAnsi="ＭＳ ゴシック" w:eastAsia="ＭＳ ゴシック"/>
          <w:color w:val="FF0000"/>
        </w:rPr>
      </w:pPr>
      <w:r>
        <w:rPr>
          <w:rFonts w:hint="eastAsia" w:ascii="ＭＳ ゴシック" w:hAnsi="ＭＳ ゴシック" w:eastAsia="ＭＳ ゴシック"/>
          <w:b w:val="1"/>
          <w:color w:val="000000" w:themeColor="text1"/>
        </w:rPr>
        <w:t>５</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応募書類</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(1)</w:t>
      </w:r>
      <w:r>
        <w:rPr>
          <w:rFonts w:hint="eastAsia" w:ascii="ＭＳ ゴシック" w:hAnsi="ＭＳ ゴシック" w:eastAsia="ＭＳ ゴシック"/>
          <w:color w:val="auto"/>
        </w:rPr>
        <w:t>　提出書類一覧のとおり。</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(2)</w:t>
      </w:r>
      <w:r>
        <w:rPr>
          <w:rFonts w:hint="eastAsia" w:ascii="ＭＳ ゴシック" w:hAnsi="ＭＳ ゴシック" w:eastAsia="ＭＳ ゴシック"/>
          <w:color w:val="auto"/>
        </w:rPr>
        <w:t>　提出部数</w:t>
      </w:r>
    </w:p>
    <w:p>
      <w:pPr>
        <w:pStyle w:val="0"/>
        <w:ind w:leftChars="0" w:firstLine="0" w:firstLineChars="0"/>
        <w:rPr>
          <w:rFonts w:hint="eastAsia" w:ascii="ＭＳ ゴシック" w:hAnsi="ＭＳ ゴシック" w:eastAsia="ＭＳ ゴシック"/>
          <w:color w:val="auto"/>
        </w:rPr>
      </w:pPr>
      <w:r>
        <w:rPr>
          <w:rFonts w:hint="eastAsia" w:ascii="ＭＳ ゴシック" w:hAnsi="ＭＳ ゴシック" w:eastAsia="ＭＳ ゴシック"/>
          <w:color w:val="auto"/>
        </w:rPr>
        <w:t>　　①　正本１部</w:t>
      </w:r>
    </w:p>
    <w:p>
      <w:pPr>
        <w:pStyle w:val="0"/>
        <w:ind w:left="0" w:leftChars="0" w:firstLine="420" w:firstLineChars="200"/>
        <w:rPr>
          <w:rFonts w:hint="eastAsia" w:ascii="ＭＳ ゴシック" w:hAnsi="ＭＳ ゴシック" w:eastAsia="ＭＳ ゴシック"/>
          <w:color w:val="auto"/>
        </w:rPr>
      </w:pPr>
      <w:r>
        <w:rPr>
          <w:rFonts w:hint="eastAsia" w:ascii="ＭＳ ゴシック" w:hAnsi="ＭＳ ゴシック" w:eastAsia="ＭＳ ゴシック"/>
          <w:color w:val="auto"/>
        </w:rPr>
        <w:t>②　副本１０部</w:t>
      </w:r>
    </w:p>
    <w:p>
      <w:pPr>
        <w:pStyle w:val="0"/>
        <w:ind w:left="0" w:leftChars="0" w:firstLine="105" w:firstLineChars="50"/>
        <w:rPr>
          <w:rFonts w:hint="eastAsia" w:ascii="ＭＳ ゴシック" w:hAnsi="ＭＳ ゴシック" w:eastAsia="ＭＳ ゴシック"/>
          <w:color w:val="auto"/>
        </w:rPr>
      </w:pPr>
      <w:r>
        <w:rPr>
          <w:rFonts w:hint="eastAsia" w:ascii="ＭＳ ゴシック" w:hAnsi="ＭＳ ゴシック" w:eastAsia="ＭＳ ゴシック"/>
          <w:color w:val="auto"/>
        </w:rPr>
        <w:t>(3)</w:t>
      </w:r>
      <w:r>
        <w:rPr>
          <w:rFonts w:hint="eastAsia" w:ascii="ＭＳ ゴシック" w:hAnsi="ＭＳ ゴシック" w:eastAsia="ＭＳ ゴシック"/>
          <w:color w:val="auto"/>
        </w:rPr>
        <w:t>　応募書類の体裁及び注意点</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①　応募書類は原則Ａ４判としてください。図面などについてＡ３判を用いる場合は、三つ折りとし、Ａ４判サイズとなるようにしてください。</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②　応募書類はナンバー順に並べた上で一連のページ番号及び項目ごとにインデックスを付し、Ａ４判ファイルに綴ってください。</w:t>
      </w:r>
    </w:p>
    <w:p>
      <w:pPr>
        <w:pStyle w:val="0"/>
        <w:ind w:left="0" w:leftChars="0" w:hanging="630" w:hangingChars="300"/>
        <w:rPr>
          <w:rFonts w:hint="eastAsia" w:ascii="ＭＳ ゴシック" w:hAnsi="ＭＳ ゴシック" w:eastAsia="ＭＳ ゴシック"/>
          <w:color w:val="auto"/>
        </w:rPr>
      </w:pPr>
      <w:r>
        <w:rPr>
          <w:rFonts w:hint="eastAsia" w:ascii="ＭＳ ゴシック" w:hAnsi="ＭＳ ゴシック" w:eastAsia="ＭＳ ゴシック"/>
          <w:color w:val="auto"/>
        </w:rPr>
        <w:t>　　③　応募書類の表紙に「令和６年度地域密着型サービス（地域密着型介護老人福祉施設入所者生活介護）整備運営事業者開設提案書」と記載してください。正本には、これに加えて「応募事業者名」を記載してください。</w:t>
      </w:r>
    </w:p>
    <w:p>
      <w:pPr>
        <w:pStyle w:val="0"/>
        <w:ind w:left="630" w:leftChars="200" w:hanging="210" w:hangingChars="100"/>
        <w:rPr>
          <w:rFonts w:hint="eastAsia" w:ascii="ＭＳ ゴシック" w:hAnsi="ＭＳ ゴシック" w:eastAsia="ＭＳ ゴシック"/>
          <w:color w:val="FF0000"/>
        </w:rPr>
      </w:pPr>
      <w:r>
        <w:rPr>
          <w:rFonts w:hint="eastAsia" w:ascii="ＭＳ ゴシック" w:hAnsi="ＭＳ ゴシック" w:eastAsia="ＭＳ ゴシック"/>
          <w:color w:val="auto"/>
        </w:rPr>
        <w:t>④　副本の１０部については、審査判定に用いることから、公平性の観点により応募者が特定できないよう、法人名、法人名を類推させる事項等がある場合は黒塗りするなどしてください。ＷｏｒｄやＥｘｃｅｌ等で作成する書類の場合は、パソコン上で、該当部分を黒く塗りつぶす等の加工をお願いします。黒塗りが薄く、法人名等が容易に見えてしまうケースが見られますので、必ず、確認の上提出してください。</w:t>
      </w: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p>
    <w:p>
      <w:pPr>
        <w:pStyle w:val="0"/>
        <w:ind w:leftChars="0" w:firstLine="0" w:firstLineChars="0"/>
        <w:rPr>
          <w:rFonts w:hint="eastAsia" w:ascii="ＭＳ ゴシック" w:hAnsi="ＭＳ ゴシック" w:eastAsia="ＭＳ ゴシック"/>
          <w:color w:val="FF0000"/>
        </w:rPr>
      </w:pPr>
      <w:r>
        <w:rPr>
          <w:rFonts w:hint="eastAsia" w:ascii="ＭＳ ゴシック" w:hAnsi="ＭＳ ゴシック" w:eastAsia="ＭＳ ゴシック"/>
          <w:color w:val="auto"/>
        </w:rPr>
        <w:t>【提出書類一覧】</w:t>
      </w:r>
    </w:p>
    <w:tbl>
      <w:tblPr>
        <w:tblStyle w:val="11"/>
        <w:tblW w:w="4773" w:type="pct"/>
        <w:tblInd w:w="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630"/>
        <w:gridCol w:w="3150"/>
        <w:gridCol w:w="1469"/>
        <w:gridCol w:w="3402"/>
      </w:tblGrid>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rPr>
            </w:pPr>
            <w:r>
              <w:rPr>
                <w:rFonts w:hint="eastAsia" w:ascii="ＭＳ ゴシック" w:hAnsi="ＭＳ ゴシック" w:eastAsia="ＭＳ ゴシック"/>
              </w:rPr>
              <w:t>№</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書　　類</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　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D9D9D9"/>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備　　　考</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１</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応募申込書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２</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誓約書兼同意書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３</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法人登記事項証明書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３か月以内に発行されたもの</w:t>
            </w: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４</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滞納がない証明書（市税）</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Chars="0" w:hanging="134" w:hangingChars="64"/>
              <w:rPr>
                <w:rFonts w:hint="eastAsia" w:ascii="ＭＳ ゴシック" w:hAnsi="ＭＳ ゴシック" w:eastAsia="ＭＳ ゴシック"/>
              </w:rPr>
            </w:pPr>
            <w:r>
              <w:rPr>
                <w:rFonts w:hint="eastAsia" w:ascii="ＭＳ ゴシック" w:hAnsi="ＭＳ ゴシック" w:eastAsia="ＭＳ ゴシック"/>
              </w:rPr>
              <w:t>１か月以内に発行されたもの</w:t>
            </w: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５</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整備計画調書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様式３</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rHeight w:val="270"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６</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21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法人代表者・管理者経歴書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様式４</w:t>
            </w: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１</w:t>
            </w:r>
          </w:p>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様式４</w:t>
            </w: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資格証等の写しを添付すること</w:t>
            </w:r>
          </w:p>
        </w:tc>
      </w:tr>
      <w:tr>
        <w:trPr>
          <w:trHeight w:val="965"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７</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事業予定の土地、建物に関する権利関係が確認できる書類</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・土地・建物登記事項証明書（全部事項）及び売買確約書写し</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・借地・借家の賃貸借確約書写し</w:t>
            </w:r>
          </w:p>
        </w:tc>
      </w:tr>
      <w:tr>
        <w:trPr>
          <w:trHeight w:val="965" w:hRule="atLeast"/>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８</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財務諸表</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color w:val="000000" w:themeColor="text1"/>
              </w:rPr>
              <w:t>・直近３期分の決算書類</w:t>
            </w:r>
          </w:p>
          <w:p>
            <w:pPr>
              <w:pStyle w:val="0"/>
              <w:rPr>
                <w:rFonts w:hint="eastAsia" w:ascii="ＭＳ ゴシック" w:hAnsi="ＭＳ ゴシック" w:eastAsia="ＭＳ ゴシック"/>
              </w:rPr>
            </w:pPr>
            <w:r>
              <w:rPr>
                <w:rFonts w:hint="eastAsia" w:ascii="ＭＳ ゴシック" w:hAnsi="ＭＳ ゴシック" w:eastAsia="ＭＳ ゴシック"/>
                <w:color w:val="000000" w:themeColor="text1"/>
              </w:rPr>
              <w:t>・預金残高証明書及び融資見込み証明書（新規法人の場合）</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９</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Chars="0" w:hanging="235" w:hangingChars="112"/>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事業スケジュール</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開設までの日程表を記載すること</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10</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基本計画図面</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様式任意</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・事業予定所在地（周辺の地図も添付）、平面図（居室、トイレ、浴室等の内のり面積も記入）等の記載があるもの</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・土砂災害ポータルひろしま</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r>
              <w:rPr>
                <w:rFonts w:hint="eastAsia" w:ascii="ＭＳ ゴシック" w:hAnsi="ＭＳ ゴシック" w:eastAsia="ＭＳ ゴシック"/>
                <w:color w:val="000000" w:themeColor="text1"/>
              </w:rPr>
              <w:t>https://</w:t>
            </w:r>
            <w:r>
              <w:rPr>
                <w:rFonts w:hint="eastAsia" w:ascii="ＭＳ ゴシック" w:hAnsi="ＭＳ ゴシック" w:eastAsia="ＭＳ ゴシック"/>
                <w:color w:val="000000" w:themeColor="text1"/>
                <w:kern w:val="2"/>
                <w:sz w:val="20"/>
              </w:rPr>
              <w:t>www.sabo.pref.hiroshima.lg.jp</w:t>
            </w:r>
            <w:r>
              <w:rPr>
                <w:rFonts w:hint="eastAsia" w:ascii="ＭＳ ゴシック" w:hAnsi="ＭＳ ゴシック" w:eastAsia="ＭＳ ゴシック"/>
                <w:color w:val="000000" w:themeColor="text1"/>
              </w:rPr>
              <w:t>）から事業予定所在地周辺の「土砂災害警戒区域・特別警戒区域図」を取得し、Ａ４版で添付すること</w:t>
            </w: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11</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事業所運営の基本方針について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様式５</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12</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法令等の遵守について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様式６</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13</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運営実績</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様式７</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14</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人材確保・人材育成等について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様式８</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15</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当該サービスの管理運営について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様式９</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16</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利用者への対応について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様式１０</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17</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事業の適正な運営について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18</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地域連携について</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様式１２</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19</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土地立入承諾書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様式１３</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color w:val="000000" w:themeColor="text1"/>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20</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情報公開希望申立書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様式１４</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r>
        <w:trPr/>
        <w:tc>
          <w:tcPr>
            <w:tcW w:w="364"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21</w:t>
            </w:r>
          </w:p>
        </w:tc>
        <w:tc>
          <w:tcPr>
            <w:tcW w:w="1821"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質問書</w:t>
            </w:r>
          </w:p>
        </w:tc>
        <w:tc>
          <w:tcPr>
            <w:tcW w:w="849"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別紙１</w:t>
            </w:r>
          </w:p>
        </w:tc>
        <w:tc>
          <w:tcPr>
            <w:tcW w:w="1966" w:type="pc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ＭＳ ゴシック" w:hAnsi="ＭＳ ゴシック" w:eastAsia="ＭＳ ゴシック"/>
              </w:rPr>
            </w:pPr>
          </w:p>
        </w:tc>
      </w:tr>
    </w:tbl>
    <w:p>
      <w:pPr>
        <w:pStyle w:val="0"/>
        <w:numPr>
          <w:numId w:val="0"/>
        </w:numPr>
        <w:ind w:left="360" w:leftChars="0" w:firstLine="0" w:firstLineChars="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６</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設置運営事業者の選定方法等</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(1)</w:t>
      </w:r>
      <w:r>
        <w:rPr>
          <w:rFonts w:hint="eastAsia" w:ascii="ＭＳ ゴシック" w:hAnsi="ＭＳ ゴシック" w:eastAsia="ＭＳ ゴシック"/>
          <w:color w:val="000000" w:themeColor="text1"/>
        </w:rPr>
        <w:t>　整備運営事業者の選定方法</w:t>
      </w:r>
    </w:p>
    <w:p>
      <w:pPr>
        <w:pStyle w:val="0"/>
        <w:ind w:left="0" w:leftChars="0" w:firstLine="630" w:firstLineChars="3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応募者が２事業者以上ある場合は、プロポーザル方式により選定します。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有識者等で構成する廿日市市保健福祉審議会高齢福祉専門部会における審査を基に廿日市市長が決定します。</w:t>
      </w:r>
    </w:p>
    <w:p>
      <w:pPr>
        <w:pStyle w:val="0"/>
        <w:ind w:left="0" w:leftChars="0"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(2)</w:t>
      </w:r>
      <w:r>
        <w:rPr>
          <w:rFonts w:hint="eastAsia" w:ascii="ＭＳ ゴシック" w:hAnsi="ＭＳ ゴシック" w:eastAsia="ＭＳ ゴシック"/>
          <w:color w:val="000000" w:themeColor="text1"/>
        </w:rPr>
        <w:t>　審査方法</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審査は、別紙「審査基準」に基づき、応募書類等により計画の内容や指定基準を満たすかどうか、本事業に対する考え方、理解度及び運営体制等を項目別に評価し点数化します。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プロポーザル方式では、応募書類に加え、プレゼンテーション並びにヒアリングを実施します。特色のある取組などアピールしたい内容を発表してください。プレゼンテーションの日程等については、別途連絡します。</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(3)  </w:t>
      </w:r>
      <w:r>
        <w:rPr>
          <w:rFonts w:hint="eastAsia" w:ascii="ＭＳ ゴシック" w:hAnsi="ＭＳ ゴシック" w:eastAsia="ＭＳ ゴシック"/>
          <w:color w:val="000000" w:themeColor="text1"/>
        </w:rPr>
        <w:t>選定結果の通知及び公表</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選定の結果は、令和７年１月上旬に、書面により応募者全員に通知するとともに、市ホームページで公表します。</w:t>
      </w:r>
    </w:p>
    <w:p>
      <w:pPr>
        <w:pStyle w:val="0"/>
        <w:ind w:left="420" w:leftChars="200" w:firstLine="210" w:firstLine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color w:val="000000" w:themeColor="text1"/>
        </w:rPr>
        <w:t>なお、選定結果に対する異議は受け付けませんのでご了承ください。また、選定により整備運営事業者となった場合は、法人の解散など、本市がやむを得ないものと認めた場合を除き、辞退することはできません。</w:t>
      </w:r>
    </w:p>
    <w:p>
      <w:pPr>
        <w:pStyle w:val="0"/>
        <w:ind w:left="422" w:hanging="422" w:hangingChars="200"/>
        <w:rPr>
          <w:rFonts w:hint="eastAsia" w:ascii="ＭＳ ゴシック" w:hAnsi="ＭＳ ゴシック" w:eastAsia="ＭＳ ゴシック"/>
          <w:color w:val="000000" w:themeColor="text1"/>
        </w:rPr>
      </w:pPr>
    </w:p>
    <w:p>
      <w:pPr>
        <w:pStyle w:val="0"/>
        <w:ind w:left="422" w:hanging="422"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b w:val="1"/>
          <w:color w:val="000000" w:themeColor="text1"/>
        </w:rPr>
        <w:t>７　募集内容に関する質問</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　　</w:t>
      </w:r>
      <w:r>
        <w:rPr>
          <w:rFonts w:hint="eastAsia" w:ascii="ＭＳ ゴシック" w:hAnsi="ＭＳ ゴシック" w:eastAsia="ＭＳ ゴシック"/>
          <w:b w:val="0"/>
          <w:color w:val="000000" w:themeColor="text1"/>
        </w:rPr>
        <w:t>応募に関する質問は、「質問書」（別紙１）により次のとおり受け付けます。</w:t>
      </w:r>
    </w:p>
    <w:p>
      <w:pPr>
        <w:pStyle w:val="0"/>
        <w:ind w:left="208" w:leftChars="-99" w:hanging="416" w:hangingChars="198"/>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なお、質問書を電子メールで送信される場合は、件名に『地域密着型事業者募集』と入力してください。</w:t>
      </w:r>
    </w:p>
    <w:p>
      <w:pPr>
        <w:pStyle w:val="0"/>
        <w:ind w:left="208" w:leftChars="-99" w:hanging="416" w:hangingChars="198"/>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w:t>
      </w:r>
      <w:r>
        <w:rPr>
          <w:rFonts w:hint="eastAsia" w:ascii="ＭＳ ゴシック" w:hAnsi="ＭＳ ゴシック" w:eastAsia="ＭＳ ゴシック"/>
          <w:color w:val="000000" w:themeColor="text1"/>
        </w:rPr>
        <w:t>質問に対する回答は、電子メール等で回答します。質問により募集内容に変更が生じた場合は、廿日市市ホームページに掲載し、順次更新します。</w:t>
      </w:r>
    </w:p>
    <w:tbl>
      <w:tblPr>
        <w:tblStyle w:val="44"/>
        <w:tblW w:w="0" w:type="auto"/>
        <w:jc w:val="left"/>
        <w:tblInd w:w="370" w:type="dxa"/>
        <w:tblLayout w:type="fixed"/>
        <w:tblLook w:firstRow="1" w:lastRow="0" w:firstColumn="1" w:lastColumn="0" w:noHBand="0" w:noVBand="1" w:val="04A0"/>
      </w:tblPr>
      <w:tblGrid>
        <w:gridCol w:w="1935"/>
        <w:gridCol w:w="6720"/>
      </w:tblGrid>
      <w:tr>
        <w:trPr/>
        <w:tc>
          <w:tcPr>
            <w:tcW w:w="1935"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受付期間</w:t>
            </w:r>
          </w:p>
        </w:tc>
        <w:tc>
          <w:tcPr>
            <w:tcW w:w="6720"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令和６年１１月７日（木）から令和６年１１月２７日（水）まで</w:t>
            </w:r>
          </w:p>
        </w:tc>
      </w:tr>
      <w:tr>
        <w:trPr/>
        <w:tc>
          <w:tcPr>
            <w:tcW w:w="1935" w:type="dxa"/>
            <w:vAlign w:val="center"/>
          </w:tcPr>
          <w:p>
            <w:pPr>
              <w:pStyle w:val="0"/>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受付方法</w:t>
            </w:r>
          </w:p>
        </w:tc>
        <w:tc>
          <w:tcPr>
            <w:tcW w:w="6720" w:type="dxa"/>
            <w:vAlign w:val="top"/>
          </w:tcPr>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電子メール　</w:t>
            </w:r>
            <w:r>
              <w:rPr>
                <w:rFonts w:hint="eastAsia" w:ascii="ＭＳ ゴシック" w:hAnsi="ＭＳ ゴシック" w:eastAsia="ＭＳ ゴシック"/>
                <w:color w:val="000000" w:themeColor="text1"/>
              </w:rPr>
              <w:t>koreikaigo@city.hatsukaichi.lg.jp</w:t>
            </w:r>
          </w:p>
          <w:p>
            <w:pPr>
              <w:pStyle w:val="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ＦＡＸ　０８２９－２０－１６１１</w:t>
            </w:r>
          </w:p>
        </w:tc>
      </w:tr>
    </w:tbl>
    <w:p>
      <w:pPr>
        <w:pStyle w:val="0"/>
        <w:ind w:left="210" w:leftChars="100" w:firstLineChars="0"/>
        <w:rPr>
          <w:rFonts w:hint="eastAsia" w:ascii="ＭＳ ゴシック" w:hAnsi="ＭＳ ゴシック" w:eastAsia="ＭＳ ゴシック"/>
          <w:b w:val="1"/>
          <w:color w:val="000000" w:themeColor="text1"/>
        </w:rPr>
      </w:pPr>
      <w:r>
        <w:rPr>
          <w:rFonts w:hint="eastAsia" w:ascii="ＭＳ ゴシック" w:hAnsi="ＭＳ ゴシック" w:eastAsia="ＭＳ ゴシック"/>
          <w:color w:val="000000" w:themeColor="text1"/>
        </w:rPr>
        <w:t>　</w:t>
      </w:r>
    </w:p>
    <w:p>
      <w:pPr>
        <w:pStyle w:val="0"/>
        <w:ind w:left="422" w:hanging="422" w:hangingChars="2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８　選定後の手続</w:t>
      </w:r>
    </w:p>
    <w:p>
      <w:pPr>
        <w:pStyle w:val="0"/>
        <w:ind w:left="210" w:leftChars="100" w:firstLine="210" w:firstLineChars="10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新規整備に係る設置運営事業者選定通知書の交付を受けた設置運営事業者は、事業所整備を行うとともに、人員の確保等を行い、選定された事業計画を満たした段階で、本市に対して指定申請を行うことができます。なお、令和８年度末（令和９年４月１日指定を含む。）までに事業が開始できるよう指定申請を行う必要があります。</w:t>
      </w:r>
    </w:p>
    <w:p>
      <w:pPr>
        <w:pStyle w:val="0"/>
        <w:ind w:left="210" w:leftChars="100" w:firstLine="210" w:firstLineChars="10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指定申請の内容について審査し、適切と判断した場合に、介護保険法に規定する所定の手続を経た後、指定事業者として指定します。</w:t>
      </w:r>
    </w:p>
    <w:p>
      <w:pPr>
        <w:pStyle w:val="0"/>
        <w:ind w:leftChars="0" w:firstLineChars="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0"/>
          <w:color w:val="000000" w:themeColor="text1"/>
        </w:rPr>
        <w:t xml:space="preserve"> </w:t>
      </w: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mc:AlternateContent>
          <mc:Choice Requires="wps">
            <w:drawing>
              <wp:anchor simplePos="0" relativeHeight="2" behindDoc="0" locked="0" layoutInCell="1" hidden="0" allowOverlap="1">
                <wp:simplePos x="0" y="0"/>
                <wp:positionH relativeFrom="column">
                  <wp:posOffset>-1576705</wp:posOffset>
                </wp:positionH>
                <wp:positionV relativeFrom="paragraph">
                  <wp:posOffset>147320</wp:posOffset>
                </wp:positionV>
                <wp:extent cx="114300" cy="1143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14300" cy="114300"/>
                        </a:xfrm>
                        <a:prstGeom prst="ellipse">
                          <a:avLst/>
                        </a:prstGeom>
                        <a:solidFill>
                          <a:srgbClr val="FFFFFF"/>
                        </a:solidFill>
                        <a:ln w="9525">
                          <a:solidFill>
                            <a:sysClr val="windowText" lastClr="000000"/>
                          </a:solidFill>
                        </a:ln>
                      </wps:spPr>
                      <wps:bodyPr/>
                    </wps:wsp>
                  </a:graphicData>
                </a:graphic>
              </wp:anchor>
            </w:drawing>
          </mc:Choice>
          <mc:Fallback>
            <w:pict>
              <v:oval id="オブジェクト 0" style="margin-top:11.6pt;mso-position-vertical-relative:text;mso-position-horizontal-relative:text;position:absolute;height:9pt;width:9pt;margin-left:-124.15pt;z-index:2;" o:spid="_x0000_s1026" o:allowincell="t" o:allowoverlap="t" filled="t" fillcolor="#ffffff" stroked="t" strokecolor="#000000" strokeweight="0.75pt" o:spt="3">
                <v:fill/>
                <v:stroke filltype="solid"/>
                <v:textbox style="layout-flow:horizontal;"/>
                <v:imagedata o:title=""/>
                <w10:wrap type="none" anchorx="text" anchory="text"/>
              </v:oval>
            </w:pict>
          </mc:Fallback>
        </mc:AlternateContent>
      </w:r>
      <w:r>
        <w:rPr>
          <w:rFonts w:hint="eastAsia" w:ascii="ＭＳ ゴシック" w:hAnsi="ＭＳ ゴシック" w:eastAsia="ＭＳ ゴシック"/>
          <w:b w:val="1"/>
          <w:color w:val="000000" w:themeColor="text1"/>
        </w:rPr>
        <w:t>９</w:t>
      </w:r>
      <w:r>
        <w:rPr>
          <w:rFonts w:hint="eastAsia" w:ascii="ＭＳ ゴシック" w:hAnsi="ＭＳ ゴシック" w:eastAsia="ＭＳ ゴシック"/>
          <w:b w:val="1"/>
          <w:color w:val="000000" w:themeColor="text1"/>
        </w:rPr>
        <w:t xml:space="preserve">  </w:t>
      </w:r>
      <w:r>
        <w:rPr>
          <w:rFonts w:hint="eastAsia" w:ascii="ＭＳ ゴシック" w:hAnsi="ＭＳ ゴシック" w:eastAsia="ＭＳ ゴシック"/>
          <w:b w:val="1"/>
          <w:color w:val="000000" w:themeColor="text1"/>
        </w:rPr>
        <w:t>留意事項</w:t>
      </w:r>
    </w:p>
    <w:p>
      <w:pPr>
        <w:pStyle w:val="0"/>
        <w:ind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(1)</w:t>
      </w:r>
      <w:r>
        <w:rPr>
          <w:rFonts w:hint="eastAsia" w:ascii="ＭＳ ゴシック" w:hAnsi="ＭＳ ゴシック" w:eastAsia="ＭＳ ゴシック"/>
          <w:color w:val="000000" w:themeColor="text1"/>
        </w:rPr>
        <w:t>　応募について</w:t>
      </w:r>
    </w:p>
    <w:p>
      <w:pPr>
        <w:pStyle w:val="0"/>
        <w:ind w:left="0" w:leftChars="0" w:hanging="630" w:hangingChars="3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rPr>
        <w:t>　　①　事業計画書提出後に、本市職員が整備予定地の現地調査を行いますので、あらかじめ現在の土地所有者の承諾を得て、</w:t>
      </w:r>
      <w:r>
        <w:rPr>
          <w:rFonts w:hint="eastAsia" w:ascii="ＭＳ ゴシック" w:hAnsi="ＭＳ ゴシック" w:eastAsia="ＭＳ ゴシック"/>
          <w:color w:val="000000" w:themeColor="text1"/>
          <w:highlight w:val="none"/>
        </w:rPr>
        <w:t>「土地立入承諾書」（様式１３）を提出してください。</w:t>
      </w:r>
    </w:p>
    <w:p>
      <w:pPr>
        <w:pStyle w:val="0"/>
        <w:ind w:left="0" w:leftChars="0" w:firstLine="420" w:firstLineChars="2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②　応募の際に要する費用は、応募者の負担とします。</w:t>
      </w:r>
    </w:p>
    <w:p>
      <w:pPr>
        <w:pStyle w:val="0"/>
        <w:ind w:left="630" w:leftChars="200" w:hanging="210" w:hangingChars="1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③　応募者が応募に当たって、特許権、実用新案権その他法令に基づいて保護されている権　　　利を侵害し、第三者に損害を与えたときは、その責任の一切を応募者が負うこととします。</w:t>
      </w:r>
    </w:p>
    <w:p>
      <w:pPr>
        <w:pStyle w:val="0"/>
        <w:ind w:left="630" w:leftChars="200" w:hanging="210" w:hangingChars="100"/>
        <w:rPr>
          <w:rFonts w:hint="eastAsia" w:ascii="ＭＳ ゴシック" w:hAnsi="ＭＳ ゴシック" w:eastAsia="ＭＳ ゴシック"/>
          <w:color w:val="000000" w:themeColor="text1"/>
          <w:highlight w:val="none"/>
        </w:rPr>
      </w:pPr>
      <w:r>
        <w:rPr>
          <w:rFonts w:hint="eastAsia" w:ascii="ＭＳ ゴシック" w:hAnsi="ＭＳ ゴシック" w:eastAsia="ＭＳ ゴシック"/>
          <w:color w:val="000000" w:themeColor="text1"/>
          <w:highlight w:val="none"/>
        </w:rPr>
        <w:t>④　応募者から提出された事業計画書を総合的に評価した上で設置運営事業者の選定を行いますので、事業計画書の提出をもって、指定事業者として指定されることを保証するものではありませんので、ご留意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highlight w:val="none"/>
        </w:rPr>
        <w:t>⑤　暴力団排除に係る適否判定基準については、対象者の氏名、生年月日等の個人情報に基づき、広島県警察本部にその該当の有無を照会します。</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(2)</w:t>
      </w:r>
      <w:r>
        <w:rPr>
          <w:rFonts w:hint="eastAsia" w:ascii="ＭＳ ゴシック" w:hAnsi="ＭＳ ゴシック" w:eastAsia="ＭＳ ゴシック"/>
          <w:color w:val="000000" w:themeColor="text1"/>
        </w:rPr>
        <w:t>　事業計画書の遵守について</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事業計画書に記載された内容で評価に影響を与えるものは、原則として１０年間は遵守して運営してください。</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(3)</w:t>
      </w:r>
      <w:r>
        <w:rPr>
          <w:rFonts w:hint="eastAsia" w:ascii="ＭＳ ゴシック" w:hAnsi="ＭＳ ゴシック" w:eastAsia="ＭＳ ゴシック"/>
          <w:color w:val="000000" w:themeColor="text1"/>
        </w:rPr>
        <w:t>　選定取消しについて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設置運営事業者として選定された後においても、事業計画書について、虚偽の記載又は事実と相違する記載があったことが判明した場合や、事業所を整備する上で必要な許可等が取得できないなど令和８年度末（令和９年４月１日指定を含む。）までに介護保険法に規定する指定を受けることが困難と見込まれる場合、又は設置運営主体の適否判定上「否」と判断される事態が判明した場合、選定を取り消すことがあります。</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設置運営事業者として選定された後の事業計画書の変更については、建物の実施設計に伴うものなど、本市がやむを得ないと認めた場合のみ、可能とします。ただし、整備予定地や、この募集に係る評価に影響を与える変更は、原則、認めません。</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こうした事態が発生した場合は、選定を取り消すことがありますので、十分注意してください。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設置運営事業者の選定が取消しとなった場合、応募者が要した経費その他応募者が要した負担について、本市は一切負担しません。</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(4)</w:t>
      </w:r>
      <w:r>
        <w:rPr>
          <w:rFonts w:hint="eastAsia" w:ascii="ＭＳ ゴシック" w:hAnsi="ＭＳ ゴシック" w:eastAsia="ＭＳ ゴシック"/>
          <w:color w:val="000000" w:themeColor="text1"/>
        </w:rPr>
        <w:t>　選定取消し等に基づく応募停止期間について</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設置運営事業者として選定されたにもかかわらず、選定を取り消された者又は正当な理由なく辞退した者は、選定を取り消された日又は辞退した日から起算して３年間、本市の地域密着型サービス事業者の募集に応募できません。</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(5)</w:t>
      </w:r>
      <w:r>
        <w:rPr>
          <w:rFonts w:hint="eastAsia" w:ascii="ＭＳ ゴシック" w:hAnsi="ＭＳ ゴシック" w:eastAsia="ＭＳ ゴシック"/>
          <w:color w:val="000000" w:themeColor="text1"/>
        </w:rPr>
        <w:t>　整備予定地について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整備予定地及び事業所の建物が、借地又は借家の場合は、契約書又は賃貸借確約書を提出してください。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整備予定地については、当該土地に事業所存続の支障となりうるような権利設定がない、又はその権利の抹消が確実であることを確認するため、土地の登記事項証明書を提出してください。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④　用地を新たに購入する場合又は用地を整地する必要がある場合は、当該費用についても確実な資金計画を立てることとし、挙証資料（預金残高証明書、融資見込証明書（事業計画書提出日前１か月以内に金融機関が発行したもの。以下同じ。））を提出して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⑤　定期借地権の設定による借地を認めますが、借地権の存続期間が５０年以上の一般定期借地権に限ります。</w:t>
      </w:r>
    </w:p>
    <w:p>
      <w:pPr>
        <w:pStyle w:val="0"/>
        <w:ind w:left="0"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(6)</w:t>
      </w:r>
      <w:r>
        <w:rPr>
          <w:rFonts w:hint="eastAsia" w:ascii="ＭＳ ゴシック" w:hAnsi="ＭＳ ゴシック" w:eastAsia="ＭＳ ゴシック"/>
          <w:color w:val="000000" w:themeColor="text1"/>
        </w:rPr>
        <w:t>　資金計画について</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建設に係る自己資金</w:t>
      </w:r>
    </w:p>
    <w:p>
      <w:pPr>
        <w:pStyle w:val="0"/>
        <w:ind w:left="840" w:leftChars="3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ア　新設法人については、自己資金に係る確保状況を確認するため、預金残高証明書及び　　融資見込証明書を提出してください。</w:t>
      </w:r>
    </w:p>
    <w:p>
      <w:pPr>
        <w:pStyle w:val="0"/>
        <w:ind w:left="840" w:leftChars="3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イ　既存法人については、直近３期分の決算書類を提出してください。なお、決算書類に記載されていない資産売却等による現金、普通預金又は当座預金等の確保があった場合には、その挙証資料（預金残高証明書等）を添付してください。</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事業開始後の資金計画</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事業開始後の資金計画における収入については介護報酬や利用料収入等を適切に算出するとともに、支出については人件費等について適切に算出してください。</w:t>
      </w:r>
    </w:p>
    <w:p>
      <w:pPr>
        <w:pStyle w:val="0"/>
        <w:ind w:left="630" w:leftChars="300" w:firstLine="210" w:firstLineChars="100"/>
        <w:rPr>
          <w:rFonts w:hint="eastAsia" w:ascii="ＭＳ ゴシック" w:hAnsi="ＭＳ ゴシック" w:eastAsia="ＭＳ ゴシック"/>
          <w:b w:val="0"/>
          <w:color w:val="000000" w:themeColor="text1"/>
          <w:u w:val="none" w:color="auto"/>
        </w:rPr>
      </w:pPr>
      <w:r>
        <w:rPr>
          <w:rFonts w:hint="eastAsia" w:ascii="ＭＳ ゴシック" w:hAnsi="ＭＳ ゴシック" w:eastAsia="ＭＳ ゴシック"/>
          <w:color w:val="000000" w:themeColor="text1"/>
        </w:rPr>
        <w:t>なお、</w:t>
      </w:r>
      <w:r>
        <w:rPr>
          <w:rFonts w:hint="eastAsia" w:ascii="ＭＳ ゴシック" w:hAnsi="ＭＳ ゴシック" w:eastAsia="ＭＳ ゴシック"/>
          <w:b w:val="1"/>
          <w:color w:val="000000" w:themeColor="text1"/>
          <w:u w:val="single" w:color="000000"/>
        </w:rPr>
        <w:t>広島県の「地域医療介護総合確保事業」及び本市の予算の範囲内で、補助金交付の対象となる場合がありますが、応募に当たっては、当該補助金の交付を見込まずに資金計画を作成してください。</w:t>
      </w:r>
    </w:p>
    <w:p>
      <w:pPr>
        <w:pStyle w:val="0"/>
        <w:ind w:left="420" w:leftChars="200" w:firstLine="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借入金</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償還計画は、利用者から徴収する居住費等から償還することを原則とし、収入から償還できる額の範囲内で借入れを行ってください。</w:t>
      </w:r>
    </w:p>
    <w:p>
      <w:pPr>
        <w:pStyle w:val="0"/>
        <w:ind w:leftChars="0" w:firstLineChars="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(7)</w:t>
      </w:r>
      <w:r>
        <w:rPr>
          <w:rFonts w:hint="eastAsia" w:ascii="ＭＳ ゴシック" w:hAnsi="ＭＳ ゴシック" w:eastAsia="ＭＳ ゴシック"/>
          <w:color w:val="000000" w:themeColor="text1"/>
        </w:rPr>
        <w:t>　地元への説明等情報提供について</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この事業の運営に当たっては、地域住民との連携及び協力が必要です。書類提出前までに地元に説明を行い、その結果及び状況について、所定の様式（様式１２）により提出してください。</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説明の対象は、隣接地主及び整備予定地のある町内会（事業所の設置に伴い影響を受けると見込まれる周辺町内会も含む。）とします。</w:t>
      </w:r>
    </w:p>
    <w:p>
      <w:pPr>
        <w:pStyle w:val="0"/>
        <w:ind w:left="420" w:leftChars="2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また、事業者として選定後は速やかに、選定後の地元説明会を行ってください。</w:t>
      </w:r>
    </w:p>
    <w:p>
      <w:pPr>
        <w:pStyle w:val="0"/>
        <w:ind w:left="0" w:leftChars="0" w:hanging="420" w:hanging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xml:space="preserve"> (8)</w:t>
      </w:r>
      <w:r>
        <w:rPr>
          <w:rFonts w:hint="eastAsia" w:ascii="ＭＳ ゴシック" w:hAnsi="ＭＳ ゴシック" w:eastAsia="ＭＳ ゴシック"/>
          <w:color w:val="000000" w:themeColor="text1"/>
        </w:rPr>
        <w:t>　関係法令等の遵守について</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①　事業計画書は、関係法令等（都市計画法、建築基準法、老人福祉法、介護保険法、廿日市市指定地域密着型サービスの事業の人員、設備及び運営に関する基準を定める条例等）に適合する必要があります。</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②　都市計画法に基づく開発行為等の許可を要する場合がありますので、建設部都市計画課（０８２９－３０－９１９４）にお問い合わせください。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③　「広島県福祉のまちづくり条例」に基づき、事前協議書の提出が必要となります。詳細については、建設部建築指導課（０８２９－３０－９１８３）にお問い合わせください。</w:t>
      </w:r>
    </w:p>
    <w:p>
      <w:pPr>
        <w:pStyle w:val="0"/>
        <w:ind w:left="630" w:leftChars="2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④　既存の建築物を利用する場合には、当該建築物が、事業開始までに、いわゆる新耐震基準と同等の耐震性能を有することが必要です。当該建物が昭和５６年５月以前に建築確認を受けた建物である場合は、耐震診断結果の概要書を提出してください。耐震診断の結果、耐震に係る工事が必要な場合は、工事費用を整備資金に積算してください。</w:t>
      </w:r>
    </w:p>
    <w:p>
      <w:pPr>
        <w:pStyle w:val="0"/>
        <w:ind w:left="630" w:leftChars="300" w:firstLine="210" w:firstLine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また、耐震に係る工事が必要な既存の建築物を利用する事業計画で事業者の選定を受けた場合、指定申請時に耐震化に係る工事の概要書及び耐震診断結果の提出を求めます。</w:t>
      </w:r>
    </w:p>
    <w:p>
      <w:pPr>
        <w:pStyle w:val="0"/>
        <w:ind w:left="0" w:leftChars="0" w:firstLine="105" w:firstLineChars="5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(9)</w:t>
      </w:r>
      <w:r>
        <w:rPr>
          <w:rFonts w:hint="eastAsia" w:ascii="ＭＳ ゴシック" w:hAnsi="ＭＳ ゴシック" w:eastAsia="ＭＳ ゴシック"/>
          <w:color w:val="000000" w:themeColor="text1"/>
        </w:rPr>
        <w:t>　補助金（助成金）について</w:t>
      </w:r>
    </w:p>
    <w:p>
      <w:pPr>
        <w:pStyle w:val="0"/>
        <w:ind w:left="420" w:leftChars="1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補助金について、地域密着型サービス等の整備に対し、地域医療介護総合確保基金（介護施設等整備事業）の補助金を充当する予定ですが、</w:t>
      </w:r>
      <w:r>
        <w:rPr>
          <w:rFonts w:hint="eastAsia" w:ascii="ＭＳ ゴシック" w:hAnsi="ＭＳ ゴシック" w:eastAsia="ＭＳ ゴシック"/>
          <w:b w:val="1"/>
          <w:color w:val="auto"/>
          <w:u w:val="single" w:color="auto"/>
        </w:rPr>
        <w:t>現段階で国及び県の予算の確約はありません</w:t>
      </w:r>
      <w:r>
        <w:rPr>
          <w:rFonts w:hint="eastAsia" w:ascii="ＭＳ ゴシック" w:hAnsi="ＭＳ ゴシック" w:eastAsia="ＭＳ ゴシック"/>
          <w:b w:val="1"/>
          <w:color w:val="auto"/>
          <w:u w:val="single" w:color="000000"/>
        </w:rPr>
        <w:t>。</w:t>
      </w:r>
    </w:p>
    <w:p>
      <w:pPr>
        <w:pStyle w:val="0"/>
        <w:ind w:left="420" w:leftChars="1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補助金の交付を希望する場合は、</w:t>
      </w:r>
      <w:r>
        <w:rPr>
          <w:rFonts w:hint="eastAsia" w:ascii="ＭＳ ゴシック" w:hAnsi="ＭＳ ゴシック" w:eastAsia="ＭＳ ゴシック"/>
          <w:b w:val="1"/>
          <w:color w:val="000000" w:themeColor="text1"/>
          <w:u w:val="single" w:color="auto"/>
        </w:rPr>
        <w:t>広島県からの内示をもって市が指示した日以降に工事を着工し、その年度中に工事が完了することが条件</w:t>
      </w:r>
      <w:r>
        <w:rPr>
          <w:rFonts w:hint="eastAsia" w:ascii="ＭＳ ゴシック" w:hAnsi="ＭＳ ゴシック" w:eastAsia="ＭＳ ゴシック"/>
          <w:color w:val="000000" w:themeColor="text1"/>
        </w:rPr>
        <w:t>となります。</w:t>
      </w:r>
    </w:p>
    <w:p>
      <w:pPr>
        <w:pStyle w:val="0"/>
        <w:ind w:left="420" w:leftChars="100" w:hanging="210" w:hangingChars="1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　　整備を希望する事業者については、資金計画の策定に当たり、補助金等の不交付や減額等も念頭におき、十分に対応できる場合に限り応募するようにしてください。</w:t>
      </w:r>
    </w:p>
    <w:p>
      <w:pPr>
        <w:pStyle w:val="0"/>
        <w:rPr>
          <w:rFonts w:hint="eastAsia" w:ascii="ＭＳ ゴシック" w:hAnsi="ＭＳ ゴシック" w:eastAsia="ＭＳ ゴシック"/>
          <w:b w:val="1"/>
          <w:color w:val="000000" w:themeColor="text1"/>
        </w:rPr>
      </w:pPr>
    </w:p>
    <w:p>
      <w:pPr>
        <w:pStyle w:val="0"/>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color w:val="000000" w:themeColor="text1"/>
        </w:rPr>
        <w:t>10</w:t>
      </w:r>
      <w:r>
        <w:rPr>
          <w:rFonts w:hint="eastAsia" w:ascii="ＭＳ ゴシック" w:hAnsi="ＭＳ ゴシック" w:eastAsia="ＭＳ ゴシック"/>
          <w:b w:val="1"/>
          <w:color w:val="000000" w:themeColor="text1"/>
        </w:rPr>
        <w:t>　スケジュール</w:t>
      </w:r>
    </w:p>
    <w:tbl>
      <w:tblPr>
        <w:tblStyle w:val="11"/>
        <w:tblW w:w="90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37"/>
        <w:gridCol w:w="5993"/>
      </w:tblGrid>
      <w:tr>
        <w:trPr>
          <w:trHeight w:val="4026" w:hRule="atLeast"/>
        </w:trPr>
        <w:tc>
          <w:tcPr>
            <w:tcW w:w="303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令和６年１１月７日（木）</w:t>
            </w:r>
          </w:p>
          <w:p>
            <w:pPr>
              <w:pStyle w:val="0"/>
              <w:spacing w:line="20" w:lineRule="atLeast"/>
              <w:jc w:val="center"/>
              <w:rPr>
                <w:rFonts w:hint="eastAsia" w:ascii="ＭＳ ゴシック" w:hAnsi="ＭＳ ゴシック" w:eastAsia="ＭＳ ゴシック"/>
                <w:color w:val="000000" w:themeColor="text1"/>
              </w:rPr>
            </w:pP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令和６年１２月６日（金）</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令和６年１２月下旬頃</w:t>
            </w:r>
          </w:p>
          <w:p>
            <w:pPr>
              <w:pStyle w:val="0"/>
              <w:spacing w:line="20" w:lineRule="atLeast"/>
              <w:jc w:val="center"/>
              <w:rPr>
                <w:rFonts w:hint="eastAsia" w:ascii="ＭＳ ゴシック" w:hAnsi="ＭＳ ゴシック" w:eastAsia="ＭＳ ゴシック"/>
                <w:color w:val="000000" w:themeColor="text1"/>
              </w:rPr>
            </w:pP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令和７年１月上旬頃</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令和７年度から</w:t>
            </w:r>
          </w:p>
          <w:p>
            <w:pPr>
              <w:pStyle w:val="0"/>
              <w:spacing w:line="20" w:lineRule="atLeast"/>
              <w:jc w:val="center"/>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w:t>
            </w:r>
          </w:p>
        </w:tc>
        <w:tc>
          <w:tcPr>
            <w:tcW w:w="599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応募・質問受付開始</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【質問受付期間】令和６年１１月２７日（水）まで</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応募受付終了　書類審査</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廿日市市保健福祉審議会高齢福祉専門部会開催（事業者によるプレゼンテーションの実施）</w:t>
            </w:r>
          </w:p>
          <w:p>
            <w:pPr>
              <w:pStyle w:val="0"/>
              <w:spacing w:line="20" w:lineRule="atLeast"/>
              <w:rPr>
                <w:rFonts w:hint="eastAsia" w:ascii="ＭＳ ゴシック" w:hAnsi="ＭＳ ゴシック" w:eastAsia="ＭＳ ゴシック"/>
                <w:color w:val="000000" w:themeColor="text1"/>
              </w:rPr>
            </w:pP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書類審査結果通知（事業者へ個別通知）</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事業予定者発表（市ホームページに掲載）</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事業予定者による開設準備期間（指定申請手続きを含む）</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事業者指定後サービス提供開始（令和７・８年度指定事業者）</w:t>
            </w:r>
          </w:p>
          <w:p>
            <w:pPr>
              <w:pStyle w:val="0"/>
              <w:spacing w:line="20" w:lineRule="atLeast"/>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（令和９年４月１日指定含む）</w:t>
            </w:r>
          </w:p>
        </w:tc>
      </w:tr>
    </w:tbl>
    <w:p>
      <w:pPr>
        <w:pStyle w:val="0"/>
        <w:jc w:val="left"/>
        <w:rPr>
          <w:rFonts w:hint="eastAsia" w:ascii="ＭＳ ゴシック" w:hAnsi="ＭＳ ゴシック" w:eastAsia="ＭＳ ゴシック"/>
          <w:b w:val="1"/>
        </w:rPr>
      </w:pPr>
    </w:p>
    <w:p>
      <w:pPr>
        <w:pStyle w:val="0"/>
        <w:ind w:leftChars="0" w:firstLine="0" w:firstLineChars="0"/>
        <w:jc w:val="left"/>
        <w:rPr>
          <w:rFonts w:hint="eastAsia" w:ascii="ＭＳ ゴシック" w:hAnsi="ＭＳ ゴシック" w:eastAsia="ＭＳ ゴシック"/>
          <w:b w:val="1"/>
          <w:color w:val="000000" w:themeColor="text1"/>
        </w:rPr>
      </w:pPr>
      <w:r>
        <w:rPr>
          <w:rFonts w:hint="eastAsia" w:ascii="ＭＳ ゴシック" w:hAnsi="ＭＳ ゴシック" w:eastAsia="ＭＳ ゴシック"/>
          <w:b w:val="1"/>
        </w:rPr>
        <w:t>11</w:t>
      </w:r>
      <w:r>
        <w:rPr>
          <w:rFonts w:hint="eastAsia" w:ascii="ＭＳ ゴシック" w:hAnsi="ＭＳ ゴシック" w:eastAsia="ＭＳ ゴシック"/>
          <w:b w:val="1"/>
        </w:rPr>
        <w:t>　お問合せ先</w:t>
      </w:r>
      <w:r>
        <w:rPr>
          <w:rFonts w:hint="eastAsia" w:ascii="ＭＳ ゴシック" w:hAnsi="ＭＳ ゴシック" w:eastAsia="ＭＳ ゴシック"/>
          <w:b w:val="1"/>
          <w:color w:val="000000" w:themeColor="text1"/>
        </w:rPr>
        <w:t xml:space="preserve">  </w:t>
      </w:r>
    </w:p>
    <w:p>
      <w:pPr>
        <w:pStyle w:val="0"/>
        <w:ind w:firstLine="420" w:firstLineChars="200"/>
        <w:jc w:val="left"/>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廿日市市健康福祉部高齢介護課</w:t>
      </w:r>
      <w:r>
        <w:rPr>
          <w:rFonts w:hint="eastAsia" w:ascii="ＭＳ ゴシック" w:hAnsi="ＭＳ ゴシック" w:eastAsia="ＭＳ ゴシック"/>
          <w:b w:val="0"/>
          <w:color w:val="000000" w:themeColor="text1"/>
        </w:rPr>
        <w:t xml:space="preserve"> </w:t>
      </w:r>
      <w:r>
        <w:rPr>
          <w:rFonts w:hint="eastAsia" w:ascii="ＭＳ ゴシック" w:hAnsi="ＭＳ ゴシック" w:eastAsia="ＭＳ ゴシック"/>
          <w:b w:val="0"/>
          <w:color w:val="000000" w:themeColor="text1"/>
        </w:rPr>
        <w:t>認定・指導係</w:t>
      </w:r>
    </w:p>
    <w:p>
      <w:pPr>
        <w:pStyle w:val="0"/>
        <w:ind w:firstLine="420" w:firstLineChars="200"/>
        <w:rPr>
          <w:rFonts w:hint="eastAsia"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〒７３８－８５１２　廿日市市新宮一丁目１３番１号（山崎本社みんなのあいプラザ３階）</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ＴＥＬ：０８２９－３０－９１９６</w:t>
      </w:r>
    </w:p>
    <w:p>
      <w:pPr>
        <w:pStyle w:val="0"/>
        <w:ind w:left="0" w:leftChars="0" w:firstLine="630" w:firstLineChars="300"/>
        <w:jc w:val="left"/>
        <w:rPr>
          <w:rFonts w:hint="default"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ＦＡＸ：０８２９－２０－１６１１</w:t>
      </w:r>
    </w:p>
    <w:p>
      <w:pPr>
        <w:pStyle w:val="0"/>
        <w:rPr>
          <w:rFonts w:hint="eastAsia" w:ascii="ＭＳ ゴシック" w:hAnsi="ＭＳ ゴシック" w:eastAsia="ＭＳ ゴシック"/>
          <w:b w:val="0"/>
          <w:color w:val="000000" w:themeColor="text1"/>
        </w:rPr>
      </w:pPr>
      <w:r>
        <w:rPr>
          <w:rFonts w:hint="eastAsia" w:ascii="ＭＳ ゴシック" w:hAnsi="ＭＳ ゴシック" w:eastAsia="ＭＳ ゴシック"/>
          <w:b w:val="0"/>
          <w:color w:val="000000" w:themeColor="text1"/>
        </w:rPr>
        <w:t>　　　電子メール：</w:t>
      </w:r>
      <w:r>
        <w:rPr>
          <w:rFonts w:hint="eastAsia" w:ascii="ＭＳ ゴシック" w:hAnsi="ＭＳ ゴシック" w:eastAsia="ＭＳ ゴシック"/>
          <w:b w:val="0"/>
          <w:color w:val="000000" w:themeColor="text1"/>
        </w:rPr>
        <w:t>koreikaigo@city.hatsukaichi.lg.jp</w:t>
      </w: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rPr>
      </w:pPr>
    </w:p>
    <w:p>
      <w:pPr>
        <w:pStyle w:val="0"/>
        <w:jc w:val="left"/>
        <w:rPr>
          <w:rFonts w:hint="eastAsia" w:ascii="ＭＳ ゴシック" w:hAnsi="ＭＳ ゴシック" w:eastAsia="ＭＳ ゴシック"/>
          <w:b w:val="1"/>
        </w:rPr>
      </w:pPr>
      <w:r>
        <w:rPr>
          <w:rFonts w:hint="eastAsia"/>
        </w:rPr>
        <w:br w:type="page"/>
      </w:r>
    </w:p>
    <w:p>
      <w:pPr>
        <w:pStyle w:val="0"/>
        <w:jc w:val="left"/>
        <w:rPr>
          <w:rFonts w:hint="eastAsia" w:ascii="ＭＳ ゴシック" w:hAnsi="ＭＳ ゴシック" w:eastAsia="ＭＳ ゴシック"/>
          <w:b w:val="1"/>
        </w:rPr>
      </w:pPr>
      <w:r>
        <w:rPr>
          <w:rFonts w:hint="eastAsia" w:ascii="ＭＳ ゴシック" w:hAnsi="ＭＳ ゴシック" w:eastAsia="ＭＳ ゴシック"/>
          <w:b w:val="1"/>
        </w:rPr>
        <w:t>12</w:t>
      </w:r>
      <w:r>
        <w:rPr>
          <w:rFonts w:hint="eastAsia" w:ascii="ＭＳ ゴシック" w:hAnsi="ＭＳ ゴシック" w:eastAsia="ＭＳ ゴシック"/>
          <w:b w:val="1"/>
        </w:rPr>
        <w:t>　その他参考情報</w:t>
      </w:r>
    </w:p>
    <w:p>
      <w:pPr>
        <w:pStyle w:val="0"/>
        <w:ind w:firstLine="105" w:firstLineChars="50"/>
        <w:jc w:val="left"/>
        <w:rPr>
          <w:rFonts w:hint="default"/>
          <w:color w:val="000000" w:themeColor="text1"/>
          <w:sz w:val="21"/>
        </w:rPr>
      </w:pPr>
      <w:r>
        <w:rPr>
          <w:rFonts w:hint="eastAsia" w:ascii="ＭＳ ゴシック" w:hAnsi="ＭＳ ゴシック" w:eastAsia="ＭＳ ゴシック"/>
          <w:b w:val="0"/>
        </w:rPr>
        <w:t>(1)</w:t>
      </w:r>
      <w:r>
        <w:rPr>
          <w:rFonts w:hint="eastAsia" w:ascii="ＭＳ ゴシック" w:hAnsi="ＭＳ ゴシック" w:eastAsia="ＭＳ ゴシック"/>
          <w:b w:val="0"/>
        </w:rPr>
        <w:t>　日常生活圏域の概要</w:t>
      </w:r>
      <w:bookmarkStart w:id="1" w:name="_Toc159757636"/>
      <w:bookmarkEnd w:id="1"/>
    </w:p>
    <w:p>
      <w:pPr>
        <w:pStyle w:val="0"/>
        <w:ind w:firstLine="105" w:firstLineChars="50"/>
        <w:jc w:val="left"/>
        <w:rPr>
          <w:rFonts w:hint="default"/>
          <w:color w:val="000000" w:themeColor="text1"/>
          <w:sz w:val="21"/>
        </w:rPr>
      </w:pPr>
    </w:p>
    <w:p>
      <w:pPr>
        <w:pStyle w:val="0"/>
        <w:jc w:val="center"/>
        <w:rPr>
          <w:rFonts w:hint="default"/>
          <w:color w:val="000000" w:themeColor="text1"/>
          <w:sz w:val="21"/>
        </w:rPr>
      </w:pPr>
      <w:r>
        <w:rPr>
          <w:rFonts w:hint="eastAsia" w:ascii="ＭＳ ゴシック" w:hAnsi="ＭＳ ゴシック" w:eastAsia="ＭＳ ゴシック"/>
          <w:color w:val="000000" w:themeColor="text1"/>
          <w:sz w:val="21"/>
        </w:rPr>
        <w:t>図表　日常生活圏域の状況（令和５（</w:t>
      </w:r>
      <w:r>
        <w:rPr>
          <w:rFonts w:hint="eastAsia" w:ascii="ＭＳ ゴシック" w:hAnsi="ＭＳ ゴシック" w:eastAsia="ＭＳ ゴシック"/>
          <w:color w:val="000000" w:themeColor="text1"/>
          <w:sz w:val="21"/>
        </w:rPr>
        <w:t>2023</w:t>
      </w:r>
      <w:r>
        <w:rPr>
          <w:rFonts w:hint="eastAsia" w:ascii="ＭＳ ゴシック" w:hAnsi="ＭＳ ゴシック" w:eastAsia="ＭＳ ゴシック"/>
          <w:color w:val="000000" w:themeColor="text1"/>
          <w:sz w:val="21"/>
        </w:rPr>
        <w:t>）年</w:t>
      </w:r>
      <w:r>
        <w:rPr>
          <w:rFonts w:hint="eastAsia" w:ascii="ＭＳ ゴシック" w:hAnsi="ＭＳ ゴシック" w:eastAsia="ＭＳ ゴシック"/>
          <w:color w:val="000000" w:themeColor="text1"/>
          <w:sz w:val="21"/>
        </w:rPr>
        <w:t>10</w:t>
      </w:r>
      <w:r>
        <w:rPr>
          <w:rFonts w:hint="eastAsia" w:ascii="ＭＳ ゴシック" w:hAnsi="ＭＳ ゴシック" w:eastAsia="ＭＳ ゴシック"/>
          <w:color w:val="000000" w:themeColor="text1"/>
          <w:sz w:val="21"/>
        </w:rPr>
        <w:t>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（単位：人）</w:t>
      </w:r>
    </w:p>
    <w:tbl>
      <w:tblPr>
        <w:tblStyle w:val="42"/>
        <w:tblW w:w="8704" w:type="dxa"/>
        <w:tblInd w:w="421" w:type="dxa"/>
        <w:tblLayout w:type="fixed"/>
        <w:tblLook w:firstRow="1" w:lastRow="0" w:firstColumn="1" w:lastColumn="0" w:noHBand="0" w:noVBand="1" w:val="04A0"/>
      </w:tblPr>
      <w:tblGrid>
        <w:gridCol w:w="1275"/>
        <w:gridCol w:w="2699"/>
        <w:gridCol w:w="990"/>
        <w:gridCol w:w="1210"/>
        <w:gridCol w:w="1191"/>
        <w:gridCol w:w="1339"/>
      </w:tblGrid>
      <w:tr>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tabs>
                <w:tab w:val="left" w:leader="none" w:pos="1100"/>
              </w:tabs>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圏域</w:t>
            </w:r>
          </w:p>
        </w:tc>
        <w:tc>
          <w:tcPr>
            <w:tcW w:w="269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構成される小学校区等</w:t>
            </w:r>
          </w:p>
        </w:tc>
        <w:tc>
          <w:tcPr>
            <w:tcW w:w="99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人口</w:t>
            </w:r>
          </w:p>
        </w:tc>
        <w:tc>
          <w:tcPr>
            <w:tcW w:w="121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高齢者数</w:t>
            </w:r>
          </w:p>
        </w:tc>
        <w:tc>
          <w:tcPr>
            <w:tcW w:w="119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高齢化率</w:t>
            </w:r>
          </w:p>
        </w:tc>
        <w:tc>
          <w:tcPr>
            <w:tcW w:w="13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CCECFF"/>
            <w:vAlign w:val="center"/>
          </w:tcPr>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kern w:val="24"/>
                <w:sz w:val="18"/>
              </w:rPr>
            </w:pPr>
            <w:r>
              <w:rPr>
                <w:rFonts w:hint="eastAsia" w:ascii="ＭＳ Ｐゴシック" w:hAnsi="ＭＳ Ｐゴシック" w:eastAsia="ＭＳ Ｐゴシック"/>
                <w:color w:val="000000" w:themeColor="text1"/>
                <w:kern w:val="24"/>
                <w:sz w:val="18"/>
              </w:rPr>
              <w:t>第１号被保険者</w:t>
            </w:r>
          </w:p>
          <w:p>
            <w:pPr>
              <w:pStyle w:val="28"/>
              <w:autoSpaceDE w:val="0"/>
              <w:autoSpaceDN w:val="0"/>
              <w:spacing w:line="26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認定者数</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廿日市東部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佐方・廿日市・平良・原</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31,554</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24.5%</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1,425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廿日市中部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宮内・金剛寺・宮園</w:t>
            </w:r>
          </w:p>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・四季が丘</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24,035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7,717</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32.1%</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1,143</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廿日市西部</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26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地御前・阿品台東・阿品台西</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20,180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7,126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35.3%</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1,290</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佐伯</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旧佐伯町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8,890</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3,933</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44.2%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705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吉和</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旧吉和村</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573</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299</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52.2%</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77</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大野</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旧大野町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29,421</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8,990</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30.6%</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1,655</w:t>
            </w:r>
          </w:p>
        </w:tc>
      </w:tr>
      <w:tr>
        <w:trPr>
          <w:trHeight w:val="567" w:hRule="atLeast"/>
        </w:trPr>
        <w:tc>
          <w:tcPr>
            <w:tcW w:w="12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center"/>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宮島</w:t>
            </w:r>
          </w:p>
        </w:tc>
        <w:tc>
          <w:tcPr>
            <w:tcW w:w="2699" w:type="dxa"/>
            <w:tcBorders>
              <w:top w:val="single" w:color="000000" w:sz="4" w:space="0"/>
              <w:left w:val="single" w:color="000000" w:sz="4" w:space="0"/>
              <w:bottom w:val="single" w:color="000000"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rPr>
                <w:rFonts w:hint="default" w:ascii="ＭＳ Ｐゴシック" w:hAnsi="ＭＳ Ｐゴシック" w:eastAsia="ＭＳ Ｐゴシック"/>
                <w:sz w:val="20"/>
              </w:rPr>
            </w:pPr>
            <w:r>
              <w:rPr>
                <w:rFonts w:hint="eastAsia" w:ascii="ＭＳ Ｐゴシック" w:hAnsi="ＭＳ Ｐゴシック" w:eastAsia="ＭＳ Ｐゴシック"/>
                <w:kern w:val="24"/>
                <w:sz w:val="20"/>
              </w:rPr>
              <w:t>旧宮島町</w:t>
            </w:r>
          </w:p>
        </w:tc>
        <w:tc>
          <w:tcPr>
            <w:tcW w:w="9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1,415</w:t>
            </w:r>
          </w:p>
        </w:tc>
        <w:tc>
          <w:tcPr>
            <w:tcW w:w="12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676</w:t>
            </w:r>
          </w:p>
        </w:tc>
        <w:tc>
          <w:tcPr>
            <w:tcW w:w="11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47.8%</w:t>
            </w:r>
          </w:p>
        </w:tc>
        <w:tc>
          <w:tcPr>
            <w:tcW w:w="1339"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28"/>
              <w:autoSpaceDE w:val="0"/>
              <w:autoSpaceDN w:val="0"/>
              <w:spacing w:line="300" w:lineRule="exact"/>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153</w:t>
            </w:r>
          </w:p>
        </w:tc>
      </w:tr>
    </w:tbl>
    <w:p>
      <w:pPr>
        <w:pStyle w:val="0"/>
        <w:autoSpaceDE w:val="0"/>
        <w:autoSpaceDN w:val="0"/>
        <w:spacing w:before="165" w:beforeLines="50" w:beforeAutospacing="0" w:line="380" w:lineRule="exact"/>
        <w:rPr>
          <w:rFonts w:hint="default"/>
        </w:rPr>
      </w:pPr>
    </w:p>
    <w:p>
      <w:pPr>
        <w:pStyle w:val="0"/>
        <w:widowControl w:val="1"/>
        <w:autoSpaceDE w:val="0"/>
        <w:autoSpaceDN w:val="0"/>
        <w:jc w:val="left"/>
        <w:rPr>
          <w:rFonts w:hint="default"/>
        </w:rPr>
      </w:pPr>
      <w:r>
        <w:rPr>
          <w:rFonts w:hint="eastAsia"/>
        </w:rPr>
        <w:drawing>
          <wp:anchor distT="0" distB="0" distL="203200" distR="203200" simplePos="0" relativeHeight="3" behindDoc="0" locked="0" layoutInCell="1" hidden="0" allowOverlap="1">
            <wp:simplePos x="0" y="0"/>
            <wp:positionH relativeFrom="column">
              <wp:posOffset>711200</wp:posOffset>
            </wp:positionH>
            <wp:positionV relativeFrom="paragraph">
              <wp:posOffset>71120</wp:posOffset>
            </wp:positionV>
            <wp:extent cx="5020310" cy="3876675"/>
            <wp:effectExtent l="0" t="0" r="0" b="0"/>
            <wp:wrapNone/>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10"/>
                    <a:stretch>
                      <a:fillRect/>
                    </a:stretch>
                  </pic:blipFill>
                  <pic:spPr>
                    <a:xfrm>
                      <a:off x="0" y="0"/>
                      <a:ext cx="5020310" cy="3876675"/>
                    </a:xfrm>
                    <a:prstGeom prst="rect">
                      <a:avLst/>
                    </a:prstGeom>
                  </pic:spPr>
                </pic:pic>
              </a:graphicData>
            </a:graphic>
          </wp:anchor>
        </w:drawing>
      </w:r>
      <w:r>
        <w:rPr>
          <w:rFonts w:hint="default"/>
        </w:rPr>
        <w:br w:type="page"/>
      </w:r>
    </w:p>
    <w:p>
      <w:pPr>
        <w:pStyle w:val="0"/>
        <w:autoSpaceDE w:val="0"/>
        <w:autoSpaceDN w:val="0"/>
        <w:spacing w:before="165" w:beforeLines="50" w:beforeAutospacing="0" w:line="380" w:lineRule="exact"/>
        <w:ind w:left="0" w:leftChars="0" w:firstLine="105" w:firstLineChars="50"/>
        <w:rPr>
          <w:rFonts w:hint="default"/>
          <w:sz w:val="21"/>
        </w:rPr>
      </w:pPr>
      <w:bookmarkStart w:id="2" w:name="_Toc150813509"/>
      <w:bookmarkEnd w:id="2"/>
      <w:bookmarkStart w:id="3" w:name="_Toc155873038"/>
      <w:bookmarkEnd w:id="3"/>
      <w:bookmarkStart w:id="4" w:name="_Toc159757638"/>
      <w:bookmarkEnd w:id="4"/>
      <w:r>
        <w:rPr>
          <w:rFonts w:hint="eastAsia" w:ascii="ＭＳ ゴシック" w:hAnsi="ＭＳ ゴシック" w:eastAsia="ＭＳ ゴシック"/>
          <w:sz w:val="21"/>
        </w:rPr>
        <w:t>(2)</w:t>
      </w:r>
      <w:r>
        <w:rPr>
          <w:rFonts w:hint="eastAsia" w:ascii="ＭＳ ゴシック" w:hAnsi="ＭＳ ゴシック" w:eastAsia="ＭＳ ゴシック"/>
          <w:sz w:val="21"/>
        </w:rPr>
        <w:t>　日常生活圏域別人口の推移と推計</w:t>
      </w:r>
    </w:p>
    <w:p>
      <w:pPr>
        <w:pStyle w:val="0"/>
        <w:autoSpaceDE w:val="0"/>
        <w:autoSpaceDN w:val="0"/>
        <w:spacing w:before="165" w:beforeLines="50" w:beforeAutospacing="0" w:line="380" w:lineRule="exact"/>
        <w:ind w:left="425" w:leftChars="193"/>
        <w:jc w:val="center"/>
        <w:rPr>
          <w:rFonts w:hint="default"/>
          <w:sz w:val="21"/>
        </w:rPr>
      </w:pPr>
    </w:p>
    <w:p>
      <w:pPr>
        <w:pStyle w:val="0"/>
        <w:autoSpaceDE w:val="0"/>
        <w:autoSpaceDN w:val="0"/>
        <w:spacing w:before="165" w:beforeLines="50" w:beforeAutospacing="0" w:line="380" w:lineRule="exact"/>
        <w:ind w:left="425" w:leftChars="193"/>
        <w:jc w:val="center"/>
        <w:rPr>
          <w:rFonts w:hint="default"/>
          <w:sz w:val="21"/>
        </w:rPr>
      </w:pPr>
      <w:r>
        <w:rPr>
          <w:rFonts w:hint="eastAsia" w:ascii="ＭＳ ゴシック" w:hAnsi="ＭＳ ゴシック" w:eastAsia="ＭＳ ゴシック"/>
          <w:sz w:val="21"/>
        </w:rPr>
        <w:t>図表　日常生活圏域別人口の推移・推計（廿日市市）</w:t>
      </w:r>
    </w:p>
    <w:p>
      <w:pPr>
        <w:pStyle w:val="0"/>
        <w:autoSpaceDE w:val="0"/>
        <w:autoSpaceDN w:val="0"/>
        <w:spacing w:line="240" w:lineRule="exact"/>
        <w:ind w:left="425" w:leftChars="193"/>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（単位：人）</w:t>
      </w:r>
    </w:p>
    <w:tbl>
      <w:tblPr>
        <w:tblStyle w:val="42"/>
        <w:tblW w:w="8640" w:type="dxa"/>
        <w:tblInd w:w="421" w:type="dxa"/>
        <w:tblLayout w:type="fixed"/>
        <w:tblLook w:firstRow="1" w:lastRow="0" w:firstColumn="1" w:lastColumn="0" w:noHBand="0" w:noVBand="1" w:val="04A0"/>
      </w:tblPr>
      <w:tblGrid>
        <w:gridCol w:w="463"/>
        <w:gridCol w:w="257"/>
        <w:gridCol w:w="1081"/>
        <w:gridCol w:w="977"/>
        <w:gridCol w:w="977"/>
        <w:gridCol w:w="977"/>
        <w:gridCol w:w="977"/>
        <w:gridCol w:w="977"/>
        <w:gridCol w:w="977"/>
        <w:gridCol w:w="977"/>
      </w:tblGrid>
      <w:tr>
        <w:trPr>
          <w:trHeight w:val="283" w:hRule="atLeast"/>
        </w:trPr>
        <w:tc>
          <w:tcPr>
            <w:tcW w:w="1801" w:type="dxa"/>
            <w:gridSpan w:val="3"/>
            <w:vMerge w:val="restart"/>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圏域</w:t>
            </w:r>
          </w:p>
        </w:tc>
        <w:tc>
          <w:tcPr>
            <w:tcW w:w="2931"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実績値</w:t>
            </w:r>
          </w:p>
        </w:tc>
        <w:tc>
          <w:tcPr>
            <w:tcW w:w="3908" w:type="dxa"/>
            <w:gridSpan w:val="4"/>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推計値</w:t>
            </w:r>
          </w:p>
        </w:tc>
      </w:tr>
      <w:tr>
        <w:trPr>
          <w:trHeight w:val="454" w:hRule="atLeast"/>
        </w:trPr>
        <w:tc>
          <w:tcPr>
            <w:tcW w:w="1801" w:type="dxa"/>
            <w:gridSpan w:val="3"/>
            <w:vMerge w:val="continue"/>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3</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(2021</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4</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(2022</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5</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(2023</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(2025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17</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(2035</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c>
          <w:tcPr>
            <w:tcW w:w="97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令和</w:t>
            </w:r>
            <w:r>
              <w:rPr>
                <w:rFonts w:hint="eastAsia" w:ascii="ＭＳ Ｐゴシック" w:hAnsi="ＭＳ Ｐゴシック" w:eastAsia="ＭＳ Ｐゴシック"/>
                <w:sz w:val="18"/>
              </w:rPr>
              <w:t>22</w:t>
            </w:r>
            <w:r>
              <w:rPr>
                <w:rFonts w:hint="eastAsia" w:ascii="ＭＳ Ｐゴシック" w:hAnsi="ＭＳ Ｐゴシック" w:eastAsia="ＭＳ Ｐゴシック"/>
                <w:sz w:val="18"/>
              </w:rPr>
              <w:t>年</w:t>
            </w:r>
          </w:p>
          <w:p>
            <w:pPr>
              <w:pStyle w:val="0"/>
              <w:autoSpaceDE w:val="0"/>
              <w:autoSpaceDN w:val="0"/>
              <w:spacing w:line="22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(2040</w:t>
            </w:r>
            <w:r>
              <w:rPr>
                <w:rFonts w:hint="eastAsia" w:ascii="ＭＳ Ｐゴシック" w:hAnsi="ＭＳ Ｐゴシック" w:eastAsia="ＭＳ Ｐゴシック"/>
                <w:sz w:val="18"/>
              </w:rPr>
              <w:t>年</w:t>
            </w:r>
            <w:r>
              <w:rPr>
                <w:rFonts w:hint="eastAsia" w:ascii="ＭＳ Ｐゴシック" w:hAnsi="ＭＳ Ｐゴシック" w:eastAsia="ＭＳ Ｐゴシック"/>
                <w:sz w:val="18"/>
              </w:rPr>
              <w:t>)</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廿日市東部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31,653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31,554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31,533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31,303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30,874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30,285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7,667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7,704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7,786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8,099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9,139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il"/>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27.6%</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autoSpaceDE w:val="0"/>
              <w:autoSpaceDN w:val="0"/>
              <w:spacing w:line="22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3,960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4,146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4,292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4,722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4,755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2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廿日市中部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24,028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23,968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24,035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23,960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22,862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21,770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7,303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7,516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7,717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8,074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8,460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8,288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8,081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37.1%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2,977</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3,171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3,363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5,449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12.4%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13.2%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24.6%</w:t>
            </w:r>
          </w:p>
        </w:tc>
      </w:tr>
      <w:tr>
        <w:trPr>
          <w:cantSplit/>
          <w:trHeight w:val="261"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廿日市西部</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20,180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19,955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19,201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18,250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17,175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7,078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7,176</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7,039</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6,818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6,686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38.9%</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3,368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3,623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3,841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4,272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4,742</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4,242</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16.5%</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17.8%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24.7</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24.7%</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佐伯</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9,247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9,088</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8,890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8,512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7,544</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6,592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5,636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3,956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3,933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3,895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3,634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3,383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3,075</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48.2%</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51.3</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54.6%</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1,965</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2,039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2,121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2,254</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2,353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2,251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1,977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21.3%</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22.4%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23.9%</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26.5</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35.1%</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吉和</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609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573</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431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313</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250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51.4%</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52.0%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52.2</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58.7%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200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197</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151</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33.0%</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36.0</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34.8</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35.1</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35.0%</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大野</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29,366</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29,421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29,359</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28,981</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28,287</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27,367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8,914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8,955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9,019</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8,990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9,031</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9,297</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30.3%</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30.5%</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31.9</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34.0%</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4,644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4,904</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5,118</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5,522</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5,793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5,650</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5,308</w:t>
            </w:r>
          </w:p>
        </w:tc>
      </w:tr>
      <w:tr>
        <w:trPr>
          <w:cantSplit/>
          <w:trHeight w:val="159" w:hRule="atLeast"/>
        </w:trPr>
        <w:tc>
          <w:tcPr>
            <w:tcW w:w="463" w:type="dxa"/>
            <w:vMerge w:val="continue"/>
            <w:vAlign w:val="top"/>
          </w:tcPr>
          <w:p>
            <w:pPr>
              <w:pStyle w:val="0"/>
              <w:autoSpaceDE w:val="0"/>
              <w:autoSpaceDN w:val="0"/>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15.8%</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16.7%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17.4%</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18.8</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20.0</w:t>
            </w:r>
            <w:r>
              <w:rPr>
                <w:rFonts w:hint="default" w:ascii="ＭＳ Ｐゴシック" w:hAnsi="ＭＳ Ｐゴシック" w:eastAsia="ＭＳ Ｐゴシック"/>
                <w:sz w:val="18"/>
              </w:rPr>
              <w:t>%</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19.4%</w:t>
            </w:r>
          </w:p>
        </w:tc>
      </w:tr>
      <w:tr>
        <w:trPr>
          <w:cantSplit/>
          <w:trHeight w:val="159" w:hRule="atLeast"/>
        </w:trPr>
        <w:tc>
          <w:tcPr>
            <w:tcW w:w="463" w:type="dxa"/>
            <w:vMerge w:val="restart"/>
            <w:textDirection w:val="tbRlV"/>
            <w:vAlign w:val="center"/>
          </w:tcPr>
          <w:p>
            <w:pPr>
              <w:pStyle w:val="0"/>
              <w:autoSpaceDE w:val="0"/>
              <w:autoSpaceDN w:val="0"/>
              <w:ind w:left="113" w:right="113"/>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宮島</w:t>
            </w:r>
          </w:p>
        </w:tc>
        <w:tc>
          <w:tcPr>
            <w:tcW w:w="1338" w:type="dxa"/>
            <w:gridSpan w:val="2"/>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総人口</w:t>
            </w:r>
          </w:p>
        </w:tc>
        <w:tc>
          <w:tcPr>
            <w:tcW w:w="977"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1,440</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1,415</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1,322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1,262</w:t>
            </w:r>
          </w:p>
        </w:tc>
        <w:tc>
          <w:tcPr>
            <w:tcW w:w="9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1,186</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restart"/>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65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701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693</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581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510</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462</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47.9%</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48.1%</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47.4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40.4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39.0%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restart"/>
            <w:vAlign w:val="top"/>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75</w:t>
            </w:r>
            <w:r>
              <w:rPr>
                <w:rFonts w:hint="eastAsia" w:ascii="ＭＳ Ｐゴシック" w:hAnsi="ＭＳ Ｐゴシック" w:eastAsia="ＭＳ Ｐゴシック"/>
                <w:sz w:val="18"/>
              </w:rPr>
              <w:t>歳以上人口</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426</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435</w:t>
            </w:r>
          </w:p>
        </w:tc>
        <w:tc>
          <w:tcPr>
            <w:tcW w:w="977" w:type="dxa"/>
            <w:tcBorders>
              <w:top w:val="single" w:color="auto" w:sz="4" w:space="0"/>
              <w:left w:val="single" w:color="auto" w:sz="4" w:space="0"/>
              <w:bottom w:val="nil"/>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458</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371</w:t>
            </w:r>
          </w:p>
        </w:tc>
        <w:tc>
          <w:tcPr>
            <w:tcW w:w="977" w:type="dxa"/>
            <w:tcBorders>
              <w:top w:val="single" w:color="auto" w:sz="4" w:space="0"/>
              <w:left w:val="nil"/>
              <w:bottom w:val="nil"/>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300</w:t>
            </w:r>
          </w:p>
        </w:tc>
      </w:tr>
      <w:tr>
        <w:trPr>
          <w:cantSplit/>
          <w:trHeight w:val="159" w:hRule="atLeast"/>
        </w:trPr>
        <w:tc>
          <w:tcPr>
            <w:tcW w:w="463"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257"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1081" w:type="dxa"/>
            <w:vMerge w:val="continue"/>
            <w:vAlign w:val="top"/>
          </w:tcPr>
          <w:p>
            <w:pPr>
              <w:pStyle w:val="0"/>
              <w:autoSpaceDE w:val="0"/>
              <w:autoSpaceDN w:val="0"/>
              <w:spacing w:line="240" w:lineRule="exact"/>
              <w:jc w:val="center"/>
              <w:rPr>
                <w:rFonts w:hint="default" w:ascii="ＭＳ Ｐゴシック" w:hAnsi="ＭＳ Ｐゴシック" w:eastAsia="ＭＳ Ｐゴシック"/>
                <w:sz w:val="18"/>
              </w:rPr>
            </w:pP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28.8%</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29.6%</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bottom"/>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30.7%</w:t>
            </w:r>
          </w:p>
        </w:tc>
        <w:tc>
          <w:tcPr>
            <w:tcW w:w="977"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32.9</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32.6</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29.4</w:t>
            </w:r>
            <w:r>
              <w:rPr>
                <w:rFonts w:hint="default" w:ascii="ＭＳ Ｐゴシック" w:hAnsi="ＭＳ Ｐゴシック" w:eastAsia="ＭＳ Ｐゴシック"/>
                <w:sz w:val="18"/>
              </w:rPr>
              <w:t>%</w:t>
            </w:r>
          </w:p>
        </w:tc>
        <w:tc>
          <w:tcPr>
            <w:tcW w:w="977"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autoSpaceDE w:val="0"/>
              <w:autoSpaceDN w:val="0"/>
              <w:spacing w:line="220" w:lineRule="exact"/>
              <w:jc w:val="right"/>
              <w:rPr>
                <w:rFonts w:hint="default" w:ascii="ＭＳ Ｐゴシック" w:hAnsi="ＭＳ Ｐゴシック" w:eastAsia="ＭＳ Ｐゴシック"/>
                <w:sz w:val="18"/>
              </w:rPr>
            </w:pPr>
            <w:r>
              <w:rPr>
                <w:rFonts w:hint="default" w:ascii="ＭＳ Ｐゴシック" w:hAnsi="ＭＳ Ｐゴシック" w:eastAsia="ＭＳ Ｐゴシック"/>
                <w:sz w:val="18"/>
              </w:rPr>
              <w:t>25.3%</w:t>
            </w:r>
          </w:p>
        </w:tc>
      </w:tr>
    </w:tbl>
    <w:p>
      <w:pPr>
        <w:pStyle w:val="0"/>
        <w:widowControl w:val="1"/>
        <w:autoSpaceDE w:val="0"/>
        <w:autoSpaceDN w:val="0"/>
        <w:spacing w:before="66" w:beforeLines="20" w:beforeAutospacing="0" w:line="220" w:lineRule="exact"/>
        <w:ind w:left="850" w:leftChars="182" w:hanging="450" w:hangingChars="250"/>
        <w:jc w:val="left"/>
        <w:rPr>
          <w:rFonts w:hint="default" w:ascii="BIZ UDPゴシック" w:hAnsi="BIZ UDPゴシック" w:eastAsia="BIZ UDPゴシック"/>
        </w:rPr>
      </w:pPr>
      <w:r>
        <w:rPr>
          <w:rFonts w:hint="eastAsia" w:ascii="BIZ UDPゴシック" w:hAnsi="BIZ UDPゴシック" w:eastAsia="BIZ UDPゴシック"/>
          <w:sz w:val="18"/>
        </w:rPr>
        <w:t>資料：令和３年から令和５</w:t>
      </w:r>
      <w:r>
        <w:rPr>
          <w:rFonts w:hint="default" w:ascii="BIZ UDPゴシック" w:hAnsi="BIZ UDPゴシック" w:eastAsia="BIZ UDPゴシック"/>
          <w:sz w:val="18"/>
        </w:rPr>
        <w:t>年住民基本台帳人口（</w:t>
      </w:r>
      <w:r>
        <w:rPr>
          <w:rFonts w:hint="eastAsia" w:ascii="BIZ UDPゴシック" w:hAnsi="BIZ UDPゴシック" w:eastAsia="BIZ UDPゴシック"/>
          <w:sz w:val="18"/>
        </w:rPr>
        <w:t>各年</w:t>
      </w:r>
      <w:r>
        <w:rPr>
          <w:rFonts w:hint="default" w:ascii="BIZ UDPゴシック" w:hAnsi="BIZ UDPゴシック" w:eastAsia="BIZ UDPゴシック"/>
          <w:sz w:val="18"/>
        </w:rPr>
        <w:t>10</w:t>
      </w:r>
      <w:r>
        <w:rPr>
          <w:rFonts w:hint="default" w:ascii="BIZ UDPゴシック" w:hAnsi="BIZ UDPゴシック" w:eastAsia="BIZ UDPゴシック"/>
          <w:sz w:val="18"/>
        </w:rPr>
        <w:t>月</w:t>
      </w:r>
      <w:r>
        <w:rPr>
          <w:rFonts w:hint="eastAsia" w:ascii="BIZ UDPゴシック" w:hAnsi="BIZ UDPゴシック" w:eastAsia="BIZ UDPゴシック"/>
          <w:sz w:val="18"/>
        </w:rPr>
        <w:t>１</w:t>
      </w:r>
      <w:r>
        <w:rPr>
          <w:rFonts w:hint="default" w:ascii="BIZ UDPゴシック" w:hAnsi="BIZ UDPゴシック" w:eastAsia="BIZ UDPゴシック"/>
          <w:sz w:val="18"/>
        </w:rPr>
        <w:t>日現在）・令和</w:t>
      </w:r>
      <w:r>
        <w:rPr>
          <w:rFonts w:hint="eastAsia" w:ascii="BIZ UDPゴシック" w:hAnsi="BIZ UDPゴシック" w:eastAsia="BIZ UDPゴシック"/>
          <w:sz w:val="18"/>
        </w:rPr>
        <w:t>７</w:t>
      </w:r>
      <w:r>
        <w:rPr>
          <w:rFonts w:hint="default" w:ascii="BIZ UDPゴシック" w:hAnsi="BIZ UDPゴシック" w:eastAsia="BIZ UDPゴシック"/>
          <w:sz w:val="18"/>
        </w:rPr>
        <w:t>年</w:t>
      </w:r>
      <w:r>
        <w:rPr>
          <w:rFonts w:hint="eastAsia" w:ascii="BIZ UDPゴシック" w:hAnsi="BIZ UDPゴシック" w:eastAsia="BIZ UDPゴシック"/>
          <w:sz w:val="18"/>
        </w:rPr>
        <w:t>から</w:t>
      </w:r>
      <w:r>
        <w:rPr>
          <w:rFonts w:hint="default" w:ascii="BIZ UDPゴシック" w:hAnsi="BIZ UDPゴシック" w:eastAsia="BIZ UDPゴシック"/>
          <w:sz w:val="18"/>
        </w:rPr>
        <w:t>住民基本台帳人口を基として推計した圏域別人口割合を市全体の推計値に按分して算出</w:t>
      </w:r>
      <w:r>
        <w:rPr>
          <w:rFonts w:hint="default" w:ascii="BIZ UDPゴシック" w:hAnsi="BIZ UDPゴシック" w:eastAsia="BIZ UDPゴシック"/>
        </w:rPr>
        <w:br w:type="page"/>
      </w:r>
    </w:p>
    <w:p>
      <w:pPr>
        <w:pStyle w:val="19"/>
        <w:spacing w:before="190" w:beforeLines="0" w:beforeAutospacing="0"/>
        <w:ind w:left="0" w:leftChars="0" w:right="84" w:rightChars="40" w:firstLineChars="0"/>
        <w:jc w:val="both"/>
        <w:rPr>
          <w:rFonts w:hint="eastAsia" w:ascii="ＭＳ ゴシック" w:hAnsi="ＭＳ ゴシック" w:eastAsia="ＭＳ ゴシック"/>
          <w:sz w:val="21"/>
        </w:rPr>
      </w:pPr>
      <w:bookmarkStart w:id="5" w:name="_Toc150813510"/>
      <w:bookmarkEnd w:id="5"/>
      <w:bookmarkStart w:id="6" w:name="_Toc155873039"/>
      <w:bookmarkEnd w:id="6"/>
      <w:r>
        <w:rPr>
          <w:rFonts w:hint="eastAsia" w:ascii="ＭＳ ゴシック" w:hAnsi="ＭＳ ゴシック" w:eastAsia="ＭＳ ゴシック"/>
          <w:sz w:val="21"/>
        </w:rPr>
        <w:t xml:space="preserve"> (3)</w:t>
      </w:r>
      <w:r>
        <w:rPr>
          <w:rFonts w:hint="eastAsia" w:ascii="ＭＳ ゴシック" w:hAnsi="ＭＳ ゴシック" w:eastAsia="ＭＳ ゴシック"/>
          <w:sz w:val="21"/>
        </w:rPr>
        <w:t>　日常生活圏域別の介護サービス事業所数</w:t>
      </w:r>
    </w:p>
    <w:p>
      <w:pPr>
        <w:pStyle w:val="19"/>
        <w:spacing w:before="190" w:beforeLines="0" w:beforeAutospacing="0"/>
        <w:jc w:val="center"/>
        <w:rPr>
          <w:rFonts w:hint="default" w:ascii="BIZ UDゴシック" w:hAnsi="BIZ UDゴシック" w:eastAsia="BIZ UDゴシック"/>
        </w:rPr>
      </w:pPr>
      <w:r>
        <w:rPr>
          <w:rFonts w:hint="eastAsia" w:ascii="ＭＳ ゴシック" w:hAnsi="ＭＳ ゴシック" w:eastAsia="ＭＳ ゴシック"/>
        </w:rPr>
        <w:t>図表　日常生活圏域別介護サービ</w:t>
      </w:r>
      <w:r>
        <w:rPr>
          <w:rStyle w:val="39"/>
          <w:rFonts w:hint="eastAsia" w:ascii="ＭＳ ゴシック" w:hAnsi="ＭＳ ゴシック" w:eastAsia="ＭＳ ゴシック"/>
        </w:rPr>
        <w:t>ス事業所数（令和５（</w:t>
      </w:r>
      <w:r>
        <w:rPr>
          <w:rStyle w:val="39"/>
          <w:rFonts w:hint="eastAsia" w:ascii="ＭＳ ゴシック" w:hAnsi="ＭＳ ゴシック" w:eastAsia="ＭＳ ゴシック"/>
        </w:rPr>
        <w:t>2023</w:t>
      </w:r>
      <w:r>
        <w:rPr>
          <w:rStyle w:val="39"/>
          <w:rFonts w:hint="eastAsia" w:ascii="ＭＳ ゴシック" w:hAnsi="ＭＳ ゴシック" w:eastAsia="ＭＳ ゴシック"/>
        </w:rPr>
        <w:t>）年４月１日現在）</w:t>
      </w:r>
    </w:p>
    <w:p>
      <w:pPr>
        <w:pStyle w:val="0"/>
        <w:autoSpaceDE w:val="0"/>
        <w:autoSpaceDN w:val="0"/>
        <w:spacing w:line="240" w:lineRule="exact"/>
        <w:ind w:left="425" w:leftChars="193"/>
        <w:jc w:val="right"/>
        <w:rPr>
          <w:rFonts w:hint="default" w:ascii="ＭＳ Ｐゴシック" w:hAnsi="ＭＳ Ｐゴシック" w:eastAsia="ＭＳ Ｐゴシック"/>
          <w:color w:val="000000" w:themeColor="text1"/>
          <w:sz w:val="18"/>
        </w:rPr>
      </w:pPr>
      <w:r>
        <w:rPr>
          <w:rFonts w:hint="eastAsia" w:ascii="ＭＳ Ｐゴシック" w:hAnsi="ＭＳ Ｐゴシック" w:eastAsia="ＭＳ Ｐゴシック"/>
          <w:color w:val="000000" w:themeColor="text1"/>
          <w:sz w:val="18"/>
        </w:rPr>
        <w:t>（単位：事業所）</w:t>
      </w:r>
    </w:p>
    <w:tbl>
      <w:tblPr>
        <w:tblStyle w:val="42"/>
        <w:tblW w:w="8640" w:type="dxa"/>
        <w:tblInd w:w="421" w:type="dxa"/>
        <w:tblLayout w:type="fixed"/>
        <w:tblLook w:firstRow="1" w:lastRow="0" w:firstColumn="1" w:lastColumn="0" w:noHBand="0" w:noVBand="1" w:val="04A0"/>
      </w:tblPr>
      <w:tblGrid>
        <w:gridCol w:w="850"/>
        <w:gridCol w:w="2410"/>
        <w:gridCol w:w="672"/>
        <w:gridCol w:w="702"/>
        <w:gridCol w:w="643"/>
        <w:gridCol w:w="673"/>
        <w:gridCol w:w="672"/>
        <w:gridCol w:w="673"/>
        <w:gridCol w:w="672"/>
        <w:gridCol w:w="673"/>
      </w:tblGrid>
      <w:tr>
        <w:trPr/>
        <w:tc>
          <w:tcPr>
            <w:tcW w:w="850"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top"/>
          </w:tcPr>
          <w:p>
            <w:pPr>
              <w:pStyle w:val="0"/>
              <w:autoSpaceDE w:val="0"/>
              <w:autoSpaceDN w:val="0"/>
              <w:spacing w:line="260" w:lineRule="exact"/>
              <w:ind w:left="440"/>
              <w:jc w:val="center"/>
              <w:rPr>
                <w:rFonts w:hint="default" w:ascii="ＭＳ Ｐゴシック" w:hAnsi="ＭＳ Ｐゴシック" w:eastAsia="ＭＳ Ｐゴシック"/>
                <w:color w:val="000000" w:themeColor="text1"/>
                <w:sz w:val="20"/>
              </w:rPr>
            </w:pP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東部</w:t>
            </w:r>
          </w:p>
        </w:tc>
        <w:tc>
          <w:tcPr>
            <w:tcW w:w="70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中部</w:t>
            </w:r>
          </w:p>
        </w:tc>
        <w:tc>
          <w:tcPr>
            <w:tcW w:w="6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kern w:val="0"/>
                <w:sz w:val="20"/>
              </w:rPr>
            </w:pPr>
            <w:r>
              <w:rPr>
                <w:rFonts w:hint="eastAsia" w:ascii="ＭＳ Ｐゴシック" w:hAnsi="ＭＳ Ｐゴシック" w:eastAsia="ＭＳ Ｐゴシック"/>
                <w:color w:val="000000" w:themeColor="text1"/>
                <w:kern w:val="24"/>
                <w:sz w:val="20"/>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西部</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佐伯</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吉和</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大野</w:t>
            </w:r>
          </w:p>
        </w:tc>
        <w:tc>
          <w:tcPr>
            <w:tcW w:w="6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宮島</w:t>
            </w:r>
          </w:p>
        </w:tc>
        <w:tc>
          <w:tcPr>
            <w:tcW w:w="6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kern w:val="24"/>
                <w:sz w:val="20"/>
              </w:rPr>
              <w:t>計</w:t>
            </w:r>
          </w:p>
        </w:tc>
      </w:tr>
      <w:tr>
        <w:trPr>
          <w:cantSplit/>
          <w:trHeight w:val="397" w:hRule="atLeast"/>
        </w:trPr>
        <w:tc>
          <w:tcPr>
            <w:tcW w:w="850"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介護（介護予防）サービス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居宅介護支援</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訪問入浴介護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17</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訪問リハビリテーション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6</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通所リハビリテーション</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16</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短期入所療養介護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福祉用具貸与</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textDirection w:val="tbRlV"/>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46</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29</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145</w:t>
            </w:r>
          </w:p>
        </w:tc>
      </w:tr>
      <w:tr>
        <w:trPr>
          <w:cantSplit/>
          <w:trHeight w:val="397" w:hRule="atLeast"/>
        </w:trPr>
        <w:tc>
          <w:tcPr>
            <w:tcW w:w="850" w:type="dxa"/>
            <w:vMerge w:val="restart"/>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地域密着型サービス</w:t>
            </w: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定期巡回・随時対応型訪問介護看護</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認知症対応型通所介護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地域密着型通所介護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5</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20</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認知症対応型共同生活介護</w:t>
            </w:r>
          </w:p>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90"/>
                <w:sz w:val="20"/>
              </w:rPr>
            </w:pPr>
            <w:r>
              <w:rPr>
                <w:rFonts w:hint="eastAsia" w:ascii="ＭＳ Ｐゴシック" w:hAnsi="ＭＳ Ｐゴシック" w:eastAsia="ＭＳ Ｐゴシック"/>
                <w:color w:val="000000" w:themeColor="text1"/>
                <w:w w:val="90"/>
                <w:sz w:val="20"/>
              </w:rPr>
              <w:t>（グループホーム）</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小規模多機能型居宅介護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複合型サービス</w:t>
            </w:r>
          </w:p>
          <w:p>
            <w:pPr>
              <w:pStyle w:val="0"/>
              <w:autoSpaceDE w:val="0"/>
              <w:autoSpaceDN w:val="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pacing w:val="0"/>
                <w:w w:val="78"/>
                <w:kern w:val="0"/>
                <w:sz w:val="20"/>
                <w:fitText w:val="2200" w:id="1"/>
              </w:rPr>
              <w:t>（介護小規模多機能型居宅介護</w:t>
            </w:r>
            <w:r>
              <w:rPr>
                <w:rFonts w:hint="eastAsia" w:ascii="ＭＳ Ｐゴシック" w:hAnsi="ＭＳ Ｐゴシック" w:eastAsia="ＭＳ Ｐゴシック"/>
                <w:color w:val="000000" w:themeColor="text1"/>
                <w:spacing w:val="24"/>
                <w:w w:val="78"/>
                <w:kern w:val="0"/>
                <w:sz w:val="20"/>
                <w:fitText w:val="2200" w:id="1"/>
              </w:rPr>
              <w:t>）</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55"/>
                <w:sz w:val="20"/>
              </w:rPr>
            </w:pPr>
            <w:r>
              <w:rPr>
                <w:rFonts w:hint="eastAsia" w:ascii="ＭＳ Ｐゴシック" w:hAnsi="ＭＳ Ｐゴシック" w:eastAsia="ＭＳ Ｐゴシック"/>
                <w:color w:val="000000" w:themeColor="text1"/>
                <w:w w:val="55"/>
                <w:sz w:val="20"/>
              </w:rPr>
              <w:t>地域密着型介護老人福祉施設入所者生活介護</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nil"/>
              <w:left w:val="single" w:color="000000" w:sz="4" w:space="0"/>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ight="-44" w:rightChars="-20"/>
              <w:rPr>
                <w:rFonts w:hint="default" w:ascii="ＭＳ Ｐゴシック" w:hAnsi="ＭＳ Ｐゴシック" w:eastAsia="ＭＳ Ｐゴシック"/>
                <w:color w:val="000000" w:themeColor="text1"/>
                <w:w w:val="70"/>
                <w:sz w:val="20"/>
              </w:rPr>
            </w:pPr>
            <w:r>
              <w:rPr>
                <w:rFonts w:hint="eastAsia" w:ascii="ＭＳ Ｐゴシック" w:hAnsi="ＭＳ Ｐゴシック" w:eastAsia="ＭＳ Ｐゴシック"/>
                <w:color w:val="000000" w:themeColor="text1"/>
                <w:w w:val="70"/>
                <w:sz w:val="20"/>
              </w:rPr>
              <w:t>地域密着型特定施設入居者生活介護</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r>
      <w:tr>
        <w:trPr>
          <w:cantSplit/>
          <w:trHeight w:val="397" w:hRule="atLeast"/>
        </w:trPr>
        <w:tc>
          <w:tcPr>
            <w:tcW w:w="850" w:type="dxa"/>
            <w:vMerge w:val="continue"/>
            <w:shd w:val="clear" w:color="auto" w:themeFill="accent1" w:themeFillTint="33" w:themeFillShade="FF"/>
            <w:vAlign w:val="center"/>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single" w:color="000000" w:sz="4" w:space="0"/>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11</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8</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2</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45</w:t>
            </w:r>
          </w:p>
        </w:tc>
      </w:tr>
      <w:tr>
        <w:trPr>
          <w:cantSplit/>
          <w:trHeight w:val="397" w:hRule="atLeast"/>
        </w:trPr>
        <w:tc>
          <w:tcPr>
            <w:tcW w:w="850" w:type="dxa"/>
            <w:vMerge w:val="restart"/>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textDirection w:val="tbRlV"/>
            <w:vAlign w:val="center"/>
          </w:tcPr>
          <w:p>
            <w:pPr>
              <w:pStyle w:val="0"/>
              <w:autoSpaceDE w:val="0"/>
              <w:autoSpaceDN w:val="0"/>
              <w:ind w:left="-44" w:leftChars="-20" w:right="-44" w:rightChars="-20"/>
              <w:jc w:val="center"/>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施設サービス</w:t>
            </w: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介護老人福祉施設</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3</w:t>
            </w:r>
          </w:p>
        </w:tc>
        <w:tc>
          <w:tcPr>
            <w:tcW w:w="70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single" w:color="000000"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7</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介護老人保健施設</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color w:val="000000" w:themeColor="text1"/>
                <w:sz w:val="20"/>
              </w:rPr>
            </w:pPr>
            <w:r>
              <w:rPr>
                <w:rFonts w:hint="eastAsia" w:ascii="ＭＳ Ｐゴシック" w:hAnsi="ＭＳ Ｐゴシック" w:eastAsia="ＭＳ Ｐゴシック"/>
                <w:color w:val="000000" w:themeColor="text1"/>
                <w:sz w:val="20"/>
              </w:rPr>
              <w:t>4</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single" w:color="000000"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介護医療院</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2"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r>
      <w:tr>
        <w:trPr>
          <w:cantSplit/>
          <w:trHeight w:val="397" w:hRule="atLeast"/>
        </w:trPr>
        <w:tc>
          <w:tcPr>
            <w:tcW w:w="850" w:type="dxa"/>
            <w:vMerge w:val="continue"/>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nil"/>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spacing w:line="260" w:lineRule="exact"/>
              <w:ind w:left="-44" w:leftChars="-20"/>
              <w:rPr>
                <w:rFonts w:hint="default" w:ascii="ＭＳ Ｐゴシック" w:hAnsi="ＭＳ Ｐゴシック" w:eastAsia="ＭＳ Ｐゴシック"/>
                <w:sz w:val="20"/>
              </w:rPr>
            </w:pPr>
            <w:r>
              <w:rPr>
                <w:rFonts w:hint="eastAsia" w:ascii="ＭＳ Ｐゴシック" w:hAnsi="ＭＳ Ｐゴシック" w:eastAsia="ＭＳ Ｐゴシック"/>
                <w:sz w:val="20"/>
              </w:rPr>
              <w:t>介護療養型医療施設</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70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4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2"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nil"/>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spacing w:line="260" w:lineRule="exact"/>
              <w:ind w:left="-44" w:leftChars="-20" w:right="-44" w:rightChars="-2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r>
      <w:tr>
        <w:trPr>
          <w:cantSplit/>
          <w:trHeight w:val="397" w:hRule="atLeast"/>
        </w:trPr>
        <w:tc>
          <w:tcPr>
            <w:tcW w:w="850" w:type="dxa"/>
            <w:vMerge w:val="continue"/>
            <w:tcBorders>
              <w:top w:val="none" w:color="auto" w:sz="0" w:space="0"/>
              <w:left w:val="none" w:color="auto" w:sz="0" w:space="0"/>
              <w:bottom w:val="double" w:color="auto" w:sz="4" w:space="0"/>
              <w:right w:val="none" w:color="auto" w:sz="0" w:space="0"/>
              <w:tl2br w:val="none" w:color="auto" w:sz="0" w:space="0"/>
              <w:tr2bl w:val="none" w:color="auto" w:sz="0" w:space="0"/>
            </w:tcBorders>
            <w:shd w:val="clear" w:color="auto" w:themeFill="accent1" w:themeFillTint="33" w:themeFillShade="FF"/>
            <w:vAlign w:val="top"/>
          </w:tcPr>
          <w:p>
            <w:pPr>
              <w:pStyle w:val="0"/>
              <w:autoSpaceDE w:val="0"/>
              <w:autoSpaceDN w:val="0"/>
              <w:rPr>
                <w:rFonts w:hint="default" w:ascii="ＭＳ Ｐゴシック" w:hAnsi="ＭＳ Ｐゴシック" w:eastAsia="ＭＳ Ｐゴシック"/>
                <w:sz w:val="20"/>
              </w:rPr>
            </w:pPr>
          </w:p>
        </w:tc>
        <w:tc>
          <w:tcPr>
            <w:tcW w:w="2410"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計</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70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4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w:t>
            </w:r>
          </w:p>
        </w:tc>
        <w:tc>
          <w:tcPr>
            <w:tcW w:w="672"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0</w:t>
            </w:r>
          </w:p>
        </w:tc>
        <w:tc>
          <w:tcPr>
            <w:tcW w:w="673" w:type="dxa"/>
            <w:tcBorders>
              <w:top w:val="double" w:color="auto" w:sz="4" w:space="0"/>
              <w:left w:val="nil"/>
              <w:bottom w:val="double" w:color="auto"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13</w:t>
            </w:r>
          </w:p>
        </w:tc>
      </w:tr>
      <w:tr>
        <w:trPr>
          <w:cantSplit/>
          <w:trHeight w:val="397" w:hRule="atLeast"/>
        </w:trPr>
        <w:tc>
          <w:tcPr>
            <w:tcW w:w="3260" w:type="dxa"/>
            <w:gridSpan w:val="2"/>
            <w:tcBorders>
              <w:top w:val="double" w:color="auto" w:sz="4" w:space="0"/>
              <w:left w:val="none" w:color="auto" w:sz="0" w:space="0"/>
              <w:bottom w:val="none" w:color="auto" w:sz="0" w:space="0"/>
              <w:right w:val="single" w:color="000000" w:sz="4" w:space="0"/>
              <w:tl2br w:val="none" w:color="auto" w:sz="0" w:space="0"/>
              <w:tr2bl w:val="none" w:color="auto" w:sz="0" w:space="0"/>
            </w:tcBorders>
            <w:shd w:val="clear" w:color="auto" w:themeFill="accent1" w:themeFillTint="33" w:themeFillShade="FF"/>
            <w:vAlign w:val="center"/>
          </w:tcPr>
          <w:p>
            <w:pPr>
              <w:pStyle w:val="0"/>
              <w:autoSpaceDE w:val="0"/>
              <w:autoSpaceDN w:val="0"/>
              <w:jc w:val="center"/>
              <w:rPr>
                <w:rFonts w:hint="default" w:ascii="ＭＳ Ｐゴシック" w:hAnsi="ＭＳ Ｐゴシック" w:eastAsia="ＭＳ Ｐゴシック"/>
                <w:sz w:val="20"/>
              </w:rPr>
            </w:pPr>
            <w:r>
              <w:rPr>
                <w:rFonts w:hint="eastAsia" w:ascii="ＭＳ Ｐゴシック" w:hAnsi="ＭＳ Ｐゴシック" w:eastAsia="ＭＳ Ｐゴシック"/>
                <w:sz w:val="20"/>
              </w:rPr>
              <w:t>合計</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62</w:t>
            </w:r>
          </w:p>
        </w:tc>
        <w:tc>
          <w:tcPr>
            <w:tcW w:w="70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42</w:t>
            </w:r>
          </w:p>
        </w:tc>
        <w:tc>
          <w:tcPr>
            <w:tcW w:w="64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38</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17</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1</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39</w:t>
            </w:r>
          </w:p>
        </w:tc>
        <w:tc>
          <w:tcPr>
            <w:tcW w:w="672"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4</w:t>
            </w:r>
          </w:p>
        </w:tc>
        <w:tc>
          <w:tcPr>
            <w:tcW w:w="673" w:type="dxa"/>
            <w:tcBorders>
              <w:top w:val="double" w:color="auto" w:sz="4" w:space="0"/>
              <w:left w:val="nil"/>
              <w:bottom w:val="single" w:color="000000" w:sz="4" w:space="0"/>
              <w:right w:val="single" w:color="000000" w:sz="4" w:space="0"/>
              <w:tl2br w:val="none" w:color="auto" w:sz="0" w:space="0"/>
              <w:tr2bl w:val="none" w:color="auto" w:sz="0" w:space="0"/>
            </w:tcBorders>
            <w:shd w:val="clear" w:color="auto" w:fill="auto"/>
            <w:vAlign w:val="center"/>
          </w:tcPr>
          <w:p>
            <w:pPr>
              <w:pStyle w:val="0"/>
              <w:autoSpaceDE w:val="0"/>
              <w:autoSpaceDN w:val="0"/>
              <w:jc w:val="right"/>
              <w:rPr>
                <w:rFonts w:hint="default" w:ascii="ＭＳ Ｐゴシック" w:hAnsi="ＭＳ Ｐゴシック" w:eastAsia="ＭＳ Ｐゴシック"/>
                <w:sz w:val="20"/>
              </w:rPr>
            </w:pPr>
            <w:r>
              <w:rPr>
                <w:rFonts w:hint="eastAsia" w:ascii="ＭＳ Ｐゴシック" w:hAnsi="ＭＳ Ｐゴシック" w:eastAsia="ＭＳ Ｐゴシック"/>
                <w:sz w:val="20"/>
              </w:rPr>
              <w:t>203</w:t>
            </w:r>
          </w:p>
        </w:tc>
      </w:tr>
    </w:tbl>
    <w:p>
      <w:pPr>
        <w:pStyle w:val="28"/>
        <w:autoSpaceDE w:val="0"/>
        <w:autoSpaceDN w:val="0"/>
        <w:rPr>
          <w:rFonts w:hint="default"/>
        </w:rPr>
      </w:pPr>
    </w:p>
    <w:p>
      <w:pPr>
        <w:pStyle w:val="0"/>
        <w:jc w:val="left"/>
        <w:rPr>
          <w:rFonts w:hint="eastAsia" w:ascii="ＭＳ ゴシック" w:hAnsi="ＭＳ ゴシック" w:eastAsia="ＭＳ ゴシック"/>
          <w:b w:val="1"/>
        </w:rPr>
      </w:pPr>
    </w:p>
    <w:p>
      <w:pPr>
        <w:pStyle w:val="19"/>
        <w:spacing w:before="190" w:beforeLines="0" w:beforeAutospacing="0"/>
        <w:ind w:left="0" w:leftChars="0" w:right="84" w:rightChars="40" w:firstLineChars="0"/>
        <w:jc w:val="both"/>
        <w:rPr>
          <w:rFonts w:hint="eastAsia" w:ascii="ＭＳ ゴシック" w:hAnsi="ＭＳ ゴシック" w:eastAsia="ＭＳ ゴシック"/>
          <w:color w:val="auto"/>
          <w:sz w:val="21"/>
        </w:rPr>
      </w:pPr>
      <w:bookmarkStart w:id="7" w:name="_Toc154310409"/>
      <w:bookmarkEnd w:id="7"/>
      <w:bookmarkStart w:id="8" w:name="_Toc155872839"/>
      <w:bookmarkEnd w:id="8"/>
      <w:bookmarkStart w:id="9" w:name="_Toc155873101"/>
      <w:bookmarkEnd w:id="9"/>
      <w:bookmarkStart w:id="10" w:name="_Toc155873546"/>
      <w:bookmarkEnd w:id="10"/>
      <w:bookmarkStart w:id="11" w:name="_Toc159755554"/>
      <w:bookmarkEnd w:id="11"/>
      <w:bookmarkStart w:id="12" w:name="_Toc159757701"/>
      <w:bookmarkEnd w:id="12"/>
      <w:r>
        <w:rPr>
          <w:rFonts w:hint="eastAsia" w:ascii="ＭＳ ゴシック" w:hAnsi="ＭＳ ゴシック" w:eastAsia="ＭＳ ゴシック"/>
          <w:color w:val="auto"/>
          <w:sz w:val="21"/>
        </w:rPr>
        <w:t xml:space="preserve"> (4)</w:t>
      </w:r>
      <w:r>
        <w:rPr>
          <w:rFonts w:hint="eastAsia" w:ascii="ＭＳ ゴシック" w:hAnsi="ＭＳ ゴシック" w:eastAsia="ＭＳ ゴシック"/>
          <w:color w:val="auto"/>
          <w:sz w:val="21"/>
        </w:rPr>
        <w:t>　認知症高齢者数の推計</w:t>
      </w:r>
    </w:p>
    <w:p>
      <w:pPr>
        <w:pStyle w:val="19"/>
        <w:spacing w:before="190" w:beforeLines="0" w:beforeAutospacing="0"/>
        <w:rPr>
          <w:rFonts w:hint="default" w:ascii="BIZ UDゴシック" w:hAnsi="BIZ UDゴシック" w:eastAsia="BIZ UDゴシック"/>
          <w:color w:val="auto"/>
        </w:rPr>
      </w:pPr>
    </w:p>
    <w:p>
      <w:pPr>
        <w:pStyle w:val="19"/>
        <w:spacing w:before="190" w:beforeLines="0" w:beforeAutospacing="0"/>
        <w:rPr>
          <w:rFonts w:hint="eastAsia" w:ascii="ＭＳ ゴシック" w:hAnsi="ＭＳ ゴシック" w:eastAsia="ＭＳ ゴシック"/>
          <w:color w:val="auto"/>
        </w:rPr>
      </w:pPr>
      <w:r>
        <w:rPr>
          <w:rFonts w:hint="eastAsia" w:ascii="ＭＳ ゴシック" w:hAnsi="ＭＳ ゴシック" w:eastAsia="ＭＳ ゴシック"/>
          <w:color w:val="auto"/>
        </w:rPr>
        <w:t xml:space="preserve"> </w:t>
      </w:r>
      <w:r>
        <w:rPr>
          <w:rFonts w:hint="eastAsia" w:ascii="ＭＳ ゴシック" w:hAnsi="ＭＳ ゴシック" w:eastAsia="ＭＳ ゴシック"/>
          <w:color w:val="auto"/>
        </w:rPr>
        <w:t>図表　認知症高齢者数等の推移・推計</w:t>
      </w:r>
    </w:p>
    <w:p>
      <w:pPr>
        <w:pStyle w:val="0"/>
        <w:autoSpaceDE w:val="0"/>
        <w:autoSpaceDN w:val="0"/>
        <w:ind w:left="425" w:leftChars="193"/>
        <w:jc w:val="center"/>
        <w:rPr>
          <w:rFonts w:hint="default"/>
          <w:sz w:val="21"/>
        </w:rPr>
      </w:pPr>
      <w:r>
        <w:rPr>
          <w:rFonts w:hint="eastAsia" w:ascii="ＭＳ ゴシック" w:hAnsi="ＭＳ ゴシック" w:eastAsia="ＭＳ ゴシック"/>
          <w:sz w:val="21"/>
        </w:rPr>
        <w:t>（要支援・要介護認定者のうち認知症高齢者の日常生活自立度Ⅱ</w:t>
      </w:r>
      <w:r>
        <w:rPr>
          <w:rFonts w:hint="eastAsia" w:ascii="ＭＳ ゴシック" w:hAnsi="ＭＳ ゴシック" w:eastAsia="ＭＳ ゴシック"/>
          <w:sz w:val="21"/>
        </w:rPr>
        <w:t>a</w:t>
      </w:r>
      <w:r>
        <w:rPr>
          <w:rFonts w:hint="eastAsia" w:ascii="ＭＳ ゴシック" w:hAnsi="ＭＳ ゴシック" w:eastAsia="ＭＳ ゴシック"/>
          <w:sz w:val="21"/>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1870"/>
        <w:gridCol w:w="951"/>
        <w:gridCol w:w="952"/>
        <w:gridCol w:w="952"/>
        <w:gridCol w:w="952"/>
        <w:gridCol w:w="952"/>
        <w:gridCol w:w="952"/>
        <w:gridCol w:w="952"/>
      </w:tblGrid>
      <w:tr>
        <w:trPr/>
        <w:tc>
          <w:tcPr>
            <w:tcW w:w="1870" w:type="dxa"/>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855" w:type="dxa"/>
            <w:gridSpan w:val="3"/>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856"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952"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22</w:t>
            </w:r>
            <w:r>
              <w:rPr>
                <w:rFonts w:hint="eastAsia" w:ascii="ＭＳ Ｐゴシック" w:hAnsi="ＭＳ Ｐゴシック" w:eastAsia="ＭＳ Ｐゴシック"/>
                <w:kern w:val="24"/>
                <w:sz w:val="18"/>
              </w:rPr>
              <w:t>年度</w:t>
            </w:r>
          </w:p>
          <w:p>
            <w:pPr>
              <w:pStyle w:val="0"/>
              <w:autoSpaceDE w:val="0"/>
              <w:autoSpaceDN w:val="0"/>
              <w:spacing w:line="20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2040</w:t>
            </w:r>
            <w:r>
              <w:rPr>
                <w:rFonts w:hint="eastAsia" w:ascii="ＭＳ Ｐゴシック" w:hAnsi="ＭＳ Ｐゴシック" w:eastAsia="ＭＳ Ｐゴシック"/>
                <w:kern w:val="24"/>
                <w:sz w:val="18"/>
              </w:rPr>
              <w:t>年度）</w:t>
            </w:r>
          </w:p>
        </w:tc>
      </w:tr>
      <w:tr>
        <w:trPr>
          <w:trHeight w:val="510" w:hRule="atLeast"/>
        </w:trPr>
        <w:tc>
          <w:tcPr>
            <w:tcW w:w="187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951"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952" w:type="dxa"/>
            <w:tcBorders>
              <w:top w:val="none" w:color="auto" w:sz="0" w:space="0"/>
              <w:left w:val="none" w:color="auto" w:sz="0" w:space="0"/>
              <w:bottom w:val="single" w:color="auto" w:sz="4"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0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952"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認知症高齢者数</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3,819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3,917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3,928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4,018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4,116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4,208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5,366 </w:t>
            </w: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認定者数に占める割合</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59.0</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58.9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59.9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r>
        <w:trPr>
          <w:trHeight w:val="340" w:hRule="atLeast"/>
        </w:trPr>
        <w:tc>
          <w:tcPr>
            <w:tcW w:w="18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35,863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36,208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36,460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36,761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36,908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37,036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 xml:space="preserve">36,993 </w:t>
            </w:r>
          </w:p>
        </w:tc>
      </w:tr>
      <w:tr>
        <w:trPr>
          <w:trHeight w:val="340" w:hRule="atLeast"/>
        </w:trPr>
        <w:tc>
          <w:tcPr>
            <w:tcW w:w="187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sz w:val="18"/>
              </w:rPr>
            </w:pPr>
            <w:r>
              <w:rPr>
                <w:rFonts w:hint="eastAsia" w:ascii="ＭＳ Ｐゴシック" w:hAnsi="ＭＳ Ｐゴシック" w:eastAsia="ＭＳ Ｐゴシック"/>
                <w:sz w:val="18"/>
              </w:rPr>
              <w:t>高齢者数に占める割合</w:t>
            </w:r>
          </w:p>
        </w:tc>
        <w:tc>
          <w:tcPr>
            <w:tcW w:w="95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10.6</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10.8</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10.9</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11.2</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11.4</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c>
          <w:tcPr>
            <w:tcW w:w="952"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spacing w:line="240" w:lineRule="exact"/>
              <w:ind w:right="-44" w:rightChars="-20"/>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14.5</w:t>
            </w:r>
            <w:r>
              <w:rPr>
                <w:rFonts w:hint="default" w:ascii="ＭＳ Ｐゴシック" w:hAnsi="ＭＳ Ｐゴシック" w:eastAsia="ＭＳ Ｐゴシック"/>
                <w:kern w:val="24"/>
                <w:sz w:val="18"/>
              </w:rPr>
              <w:t>%</w:t>
            </w:r>
            <w:r>
              <w:rPr>
                <w:rFonts w:hint="eastAsia" w:ascii="ＭＳ Ｐゴシック" w:hAnsi="ＭＳ Ｐゴシック" w:eastAsia="ＭＳ Ｐゴシック"/>
                <w:kern w:val="24"/>
                <w:sz w:val="18"/>
              </w:rPr>
              <w:t xml:space="preserve"> </w:t>
            </w:r>
          </w:p>
        </w:tc>
      </w:tr>
    </w:tbl>
    <w:p>
      <w:pPr>
        <w:pStyle w:val="19"/>
        <w:spacing w:before="190" w:beforeLines="0" w:beforeAutospacing="0"/>
        <w:rPr>
          <w:rFonts w:hint="default" w:ascii="BIZ UDゴシック" w:hAnsi="BIZ UDゴシック" w:eastAsia="BIZ UDゴシック"/>
          <w:color w:val="auto"/>
        </w:rPr>
      </w:pPr>
    </w:p>
    <w:p>
      <w:pPr>
        <w:pStyle w:val="19"/>
        <w:spacing w:before="190" w:beforeLines="0" w:beforeAutospacing="0"/>
        <w:rPr>
          <w:rFonts w:hint="eastAsia" w:ascii="ＭＳ ゴシック" w:hAnsi="ＭＳ ゴシック" w:eastAsia="ＭＳ ゴシック"/>
          <w:color w:val="auto"/>
        </w:rPr>
      </w:pPr>
      <w:r>
        <w:rPr>
          <w:rFonts w:hint="eastAsia" w:ascii="ＭＳ ゴシック" w:hAnsi="ＭＳ ゴシック" w:eastAsia="ＭＳ ゴシック"/>
          <w:color w:val="auto"/>
        </w:rPr>
        <w:t>図表　日常生活圏域別認知症高齢者数等の推移・推計</w:t>
      </w:r>
    </w:p>
    <w:p>
      <w:pPr>
        <w:pStyle w:val="19"/>
        <w:spacing w:before="0" w:beforeLines="0" w:beforeAutospacing="0"/>
        <w:rPr>
          <w:rFonts w:hint="default" w:ascii="BIZ UDゴシック" w:hAnsi="BIZ UDゴシック" w:eastAsia="BIZ UDゴシック"/>
          <w:color w:val="auto"/>
        </w:rPr>
      </w:pPr>
      <w:r>
        <w:rPr>
          <w:rFonts w:hint="eastAsia" w:ascii="ＭＳ ゴシック" w:hAnsi="ＭＳ ゴシック" w:eastAsia="ＭＳ ゴシック"/>
          <w:color w:val="auto"/>
        </w:rPr>
        <w:t>（要支援・要介護認定者のうち認知症高齢者の日常生活自立度Ⅱ</w:t>
      </w:r>
      <w:r>
        <w:rPr>
          <w:rFonts w:hint="eastAsia" w:ascii="ＭＳ ゴシック" w:hAnsi="ＭＳ ゴシック" w:eastAsia="ＭＳ ゴシック"/>
          <w:color w:val="auto"/>
        </w:rPr>
        <w:t>a</w:t>
      </w:r>
      <w:r>
        <w:rPr>
          <w:rFonts w:hint="eastAsia" w:ascii="ＭＳ ゴシック" w:hAnsi="ＭＳ ゴシック" w:eastAsia="ＭＳ ゴシック"/>
          <w:color w:val="auto"/>
        </w:rPr>
        <w:t>以上の人）</w:t>
      </w:r>
    </w:p>
    <w:p>
      <w:pPr>
        <w:pStyle w:val="0"/>
        <w:widowControl w:val="1"/>
        <w:autoSpaceDE w:val="0"/>
        <w:autoSpaceDN w:val="0"/>
        <w:spacing w:after="33" w:afterLines="10" w:afterAutospacing="0" w:line="240" w:lineRule="exact"/>
        <w:jc w:val="right"/>
        <w:rPr>
          <w:rFonts w:hint="default" w:ascii="ＭＳ Ｐゴシック" w:hAnsi="ＭＳ Ｐゴシック" w:eastAsia="ＭＳ Ｐゴシック"/>
          <w:kern w:val="24"/>
          <w:sz w:val="18"/>
        </w:rPr>
      </w:pPr>
      <w:r>
        <w:rPr>
          <w:rFonts w:hint="eastAsia" w:ascii="ＭＳ Ｐゴシック" w:hAnsi="ＭＳ Ｐゴシック" w:eastAsia="ＭＳ Ｐゴシック"/>
          <w:sz w:val="18"/>
        </w:rPr>
        <w:t>（単位：人）</w:t>
      </w:r>
    </w:p>
    <w:tbl>
      <w:tblPr>
        <w:tblStyle w:val="43"/>
        <w:tblW w:w="8533" w:type="dxa"/>
        <w:tblInd w:w="534" w:type="dxa"/>
        <w:tblLayout w:type="fixed"/>
        <w:tblLook w:firstRow="1" w:lastRow="0" w:firstColumn="1" w:lastColumn="0" w:noHBand="0" w:noVBand="1" w:val="04A0"/>
      </w:tblPr>
      <w:tblGrid>
        <w:gridCol w:w="737"/>
        <w:gridCol w:w="1559"/>
        <w:gridCol w:w="891"/>
        <w:gridCol w:w="891"/>
        <w:gridCol w:w="891"/>
        <w:gridCol w:w="891"/>
        <w:gridCol w:w="891"/>
        <w:gridCol w:w="891"/>
        <w:gridCol w:w="891"/>
      </w:tblGrid>
      <w:tr>
        <w:trPr/>
        <w:tc>
          <w:tcPr>
            <w:tcW w:w="2296" w:type="dxa"/>
            <w:gridSpan w:val="2"/>
            <w:vMerge w:val="restart"/>
            <w:shd w:val="clear" w:color="auto" w:fill="CCECFF"/>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2673" w:type="dxa"/>
            <w:gridSpan w:val="3"/>
            <w:shd w:val="clear" w:color="auto" w:fill="CCECFF"/>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期</w:t>
            </w:r>
          </w:p>
        </w:tc>
        <w:tc>
          <w:tcPr>
            <w:tcW w:w="2673" w:type="dxa"/>
            <w:gridSpan w:val="3"/>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第</w:t>
            </w:r>
            <w:r>
              <w:rPr>
                <w:rFonts w:hint="eastAsia" w:ascii="ＭＳ Ｐゴシック" w:hAnsi="ＭＳ Ｐゴシック" w:eastAsia="ＭＳ Ｐゴシック"/>
                <w:kern w:val="24"/>
                <w:sz w:val="18"/>
              </w:rPr>
              <w:t>9</w:t>
            </w:r>
            <w:r>
              <w:rPr>
                <w:rFonts w:hint="eastAsia" w:ascii="ＭＳ Ｐゴシック" w:hAnsi="ＭＳ Ｐゴシック" w:eastAsia="ＭＳ Ｐゴシック"/>
                <w:kern w:val="24"/>
                <w:sz w:val="18"/>
              </w:rPr>
              <w:t>期</w:t>
            </w:r>
          </w:p>
        </w:tc>
        <w:tc>
          <w:tcPr>
            <w:tcW w:w="891"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令和</w:t>
            </w:r>
            <w:r>
              <w:rPr>
                <w:rFonts w:hint="eastAsia" w:ascii="ＭＳ Ｐゴシック" w:hAnsi="ＭＳ Ｐゴシック" w:eastAsia="ＭＳ Ｐゴシック"/>
                <w:w w:val="95"/>
                <w:kern w:val="24"/>
                <w:sz w:val="18"/>
              </w:rPr>
              <w:t>22</w:t>
            </w:r>
            <w:r>
              <w:rPr>
                <w:rFonts w:hint="eastAsia" w:ascii="ＭＳ Ｐゴシック" w:hAnsi="ＭＳ Ｐゴシック" w:eastAsia="ＭＳ Ｐゴシック"/>
                <w:w w:val="95"/>
                <w:kern w:val="24"/>
                <w:sz w:val="18"/>
              </w:rPr>
              <w:t>年度</w:t>
            </w:r>
          </w:p>
          <w:p>
            <w:pPr>
              <w:pStyle w:val="0"/>
              <w:autoSpaceDE w:val="0"/>
              <w:autoSpaceDN w:val="0"/>
              <w:spacing w:line="240" w:lineRule="exact"/>
              <w:ind w:left="-220" w:leftChars="-100" w:right="-220" w:rightChars="-100"/>
              <w:jc w:val="center"/>
              <w:rPr>
                <w:rFonts w:hint="default" w:ascii="ＭＳ Ｐゴシック" w:hAnsi="ＭＳ Ｐゴシック" w:eastAsia="ＭＳ Ｐゴシック"/>
                <w:w w:val="95"/>
                <w:kern w:val="24"/>
                <w:sz w:val="18"/>
              </w:rPr>
            </w:pPr>
            <w:r>
              <w:rPr>
                <w:rFonts w:hint="eastAsia" w:ascii="ＭＳ Ｐゴシック" w:hAnsi="ＭＳ Ｐゴシック" w:eastAsia="ＭＳ Ｐゴシック"/>
                <w:w w:val="95"/>
                <w:kern w:val="24"/>
                <w:sz w:val="18"/>
              </w:rPr>
              <w:t>（</w:t>
            </w:r>
            <w:r>
              <w:rPr>
                <w:rFonts w:hint="eastAsia" w:ascii="ＭＳ Ｐゴシック" w:hAnsi="ＭＳ Ｐゴシック" w:eastAsia="ＭＳ Ｐゴシック"/>
                <w:w w:val="95"/>
                <w:kern w:val="24"/>
                <w:sz w:val="18"/>
              </w:rPr>
              <w:t>2040</w:t>
            </w:r>
            <w:r>
              <w:rPr>
                <w:rFonts w:hint="eastAsia" w:ascii="ＭＳ Ｐゴシック" w:hAnsi="ＭＳ Ｐゴシック" w:eastAsia="ＭＳ Ｐゴシック"/>
                <w:w w:val="95"/>
                <w:kern w:val="24"/>
                <w:sz w:val="18"/>
              </w:rPr>
              <w:t>年度）</w:t>
            </w:r>
          </w:p>
        </w:tc>
      </w:tr>
      <w:tr>
        <w:trPr/>
        <w:tc>
          <w:tcPr>
            <w:tcW w:w="2296" w:type="dxa"/>
            <w:gridSpan w:val="2"/>
            <w:vMerge w:val="continue"/>
            <w:shd w:val="clear" w:color="auto" w:fill="CCECFF"/>
            <w:vAlign w:val="center"/>
          </w:tcPr>
          <w:p>
            <w:pPr>
              <w:pStyle w:val="0"/>
              <w:widowControl w:val="1"/>
              <w:autoSpaceDE w:val="0"/>
              <w:autoSpaceDN w:val="0"/>
              <w:spacing w:line="240" w:lineRule="exact"/>
              <w:jc w:val="center"/>
              <w:rPr>
                <w:rFonts w:hint="default" w:ascii="ＭＳ Ｐゴシック" w:hAnsi="ＭＳ Ｐゴシック" w:eastAsia="ＭＳ Ｐゴシック"/>
                <w:kern w:val="24"/>
                <w:sz w:val="18"/>
              </w:rPr>
            </w:pP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3</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2021</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4</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2022</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5</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2023</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6</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2024</w:t>
            </w:r>
            <w:r>
              <w:rPr>
                <w:rFonts w:hint="eastAsia" w:ascii="ＭＳ Ｐゴシック" w:hAnsi="ＭＳ Ｐゴシック" w:eastAsia="ＭＳ Ｐゴシック"/>
                <w:kern w:val="24"/>
                <w:sz w:val="18"/>
              </w:rPr>
              <w:t>年度）</w:t>
            </w:r>
          </w:p>
        </w:tc>
        <w:tc>
          <w:tcPr>
            <w:tcW w:w="891" w:type="dxa"/>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7</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2025</w:t>
            </w:r>
            <w:r>
              <w:rPr>
                <w:rFonts w:hint="eastAsia" w:ascii="ＭＳ Ｐゴシック" w:hAnsi="ＭＳ Ｐゴシック" w:eastAsia="ＭＳ Ｐゴシック"/>
                <w:kern w:val="24"/>
                <w:sz w:val="18"/>
              </w:rPr>
              <w:t>年度）</w:t>
            </w:r>
          </w:p>
        </w:tc>
        <w:tc>
          <w:tcPr>
            <w:tcW w:w="891" w:type="dxa"/>
            <w:tcBorders>
              <w:top w:val="none" w:color="auto" w:sz="0" w:space="0"/>
              <w:left w:val="none" w:color="auto" w:sz="0" w:space="0"/>
              <w:bottom w:val="none" w:color="auto" w:sz="0" w:space="0"/>
              <w:right w:val="double" w:color="auto" w:sz="4" w:space="0"/>
              <w:tl2br w:val="none" w:color="auto" w:sz="0" w:space="0"/>
              <w:tr2bl w:val="none" w:color="auto" w:sz="0" w:space="0"/>
            </w:tcBorders>
            <w:shd w:val="clear" w:color="auto" w:fill="CCECFF"/>
            <w:vAlign w:val="center"/>
          </w:tcPr>
          <w:p>
            <w:pPr>
              <w:pStyle w:val="0"/>
              <w:widowControl w:val="1"/>
              <w:autoSpaceDE w:val="0"/>
              <w:autoSpaceDN w:val="0"/>
              <w:spacing w:line="22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令和</w:t>
            </w:r>
            <w:r>
              <w:rPr>
                <w:rFonts w:hint="eastAsia" w:ascii="ＭＳ Ｐゴシック" w:hAnsi="ＭＳ Ｐゴシック" w:eastAsia="ＭＳ Ｐゴシック"/>
                <w:kern w:val="24"/>
                <w:sz w:val="18"/>
              </w:rPr>
              <w:t>8</w:t>
            </w:r>
            <w:r>
              <w:rPr>
                <w:rFonts w:hint="eastAsia" w:ascii="ＭＳ Ｐゴシック" w:hAnsi="ＭＳ Ｐゴシック" w:eastAsia="ＭＳ Ｐゴシック"/>
                <w:kern w:val="24"/>
                <w:sz w:val="18"/>
              </w:rPr>
              <w:t>年度</w:t>
            </w:r>
          </w:p>
          <w:p>
            <w:pPr>
              <w:pStyle w:val="0"/>
              <w:widowControl w:val="1"/>
              <w:autoSpaceDE w:val="0"/>
              <w:autoSpaceDN w:val="0"/>
              <w:spacing w:line="240" w:lineRule="exact"/>
              <w:ind w:left="-220" w:leftChars="-100" w:right="-220" w:rightChars="-10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w:t>
            </w:r>
            <w:r>
              <w:rPr>
                <w:rFonts w:hint="eastAsia" w:ascii="ＭＳ Ｐゴシック" w:hAnsi="ＭＳ Ｐゴシック" w:eastAsia="ＭＳ Ｐゴシック"/>
                <w:kern w:val="24"/>
                <w:sz w:val="18"/>
              </w:rPr>
              <w:t>2026</w:t>
            </w:r>
            <w:r>
              <w:rPr>
                <w:rFonts w:hint="eastAsia" w:ascii="ＭＳ Ｐゴシック" w:hAnsi="ＭＳ Ｐゴシック" w:eastAsia="ＭＳ Ｐゴシック"/>
                <w:kern w:val="24"/>
                <w:sz w:val="18"/>
              </w:rPr>
              <w:t>年度）</w:t>
            </w:r>
          </w:p>
        </w:tc>
        <w:tc>
          <w:tcPr>
            <w:tcW w:w="891"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shd w:val="clear" w:color="auto" w:fill="CCECFF"/>
            <w:vAlign w:val="top"/>
          </w:tcPr>
          <w:p>
            <w:pPr>
              <w:pStyle w:val="0"/>
              <w:widowControl w:val="1"/>
              <w:autoSpaceDE w:val="0"/>
              <w:autoSpaceDN w:val="0"/>
              <w:spacing w:line="240" w:lineRule="exact"/>
              <w:ind w:left="-110" w:leftChars="-50" w:right="-110" w:rightChars="-50"/>
              <w:jc w:val="center"/>
              <w:rPr>
                <w:rFonts w:hint="default" w:ascii="ＭＳ Ｐゴシック" w:hAnsi="ＭＳ Ｐゴシック" w:eastAsia="ＭＳ Ｐゴシック"/>
                <w:w w:val="95"/>
                <w:kern w:val="24"/>
                <w:sz w:val="18"/>
              </w:rPr>
            </w:pP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東部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784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815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835</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851</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1,124</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0"/>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r>
      <w:tr>
        <w:trPr>
          <w:trHeight w:val="283" w:hRule="atLeast"/>
        </w:trPr>
        <w:tc>
          <w:tcPr>
            <w:tcW w:w="737" w:type="dxa"/>
            <w:vMerge w:val="restar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中部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628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675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665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704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730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761</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1,250</w:t>
            </w:r>
          </w:p>
        </w:tc>
      </w:tr>
      <w:tr>
        <w:trPr>
          <w:trHeight w:val="283" w:hRule="atLeast"/>
        </w:trPr>
        <w:tc>
          <w:tcPr>
            <w:tcW w:w="737" w:type="dxa"/>
            <w:vMerge w:val="continue"/>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9.2%</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15.5%</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廿日市</w:t>
            </w:r>
          </w:p>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西部</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724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757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775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850</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874</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1,118</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12.2%</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16.7%</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佐伯</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456</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457</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466</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11.9%</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15.2%</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吉和</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45</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44</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37</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15.1%</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15.0%</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r>
      <w:tr>
        <w:trPr>
          <w:trHeight w:val="283" w:hRule="atLeast"/>
        </w:trPr>
        <w:tc>
          <w:tcPr>
            <w:tcW w:w="737" w:type="dxa"/>
            <w:vMerge w:val="restart"/>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大野</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002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w:t>
            </w:r>
            <w:r>
              <w:rPr>
                <w:rFonts w:hint="default" w:ascii="ＭＳ Ｐゴシック" w:hAnsi="ＭＳ Ｐゴシック" w:eastAsia="ＭＳ Ｐゴシック"/>
                <w:sz w:val="18"/>
              </w:rPr>
              <w:t>,</w:t>
            </w:r>
            <w:r>
              <w:rPr>
                <w:rFonts w:hint="eastAsia" w:ascii="ＭＳ Ｐゴシック" w:hAnsi="ＭＳ Ｐゴシック" w:eastAsia="ＭＳ Ｐゴシック"/>
                <w:sz w:val="18"/>
              </w:rPr>
              <w:t>010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1,042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1,085</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1,107</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1,128</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1,292</w:t>
            </w:r>
          </w:p>
        </w:tc>
      </w:tr>
      <w:tr>
        <w:trPr>
          <w:trHeight w:val="283" w:hRule="atLeast"/>
        </w:trPr>
        <w:tc>
          <w:tcPr>
            <w:tcW w:w="737" w:type="dxa"/>
            <w:vMerge w:val="continue"/>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11.3%</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11.6%</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12.1%</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12.3%</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12.5%</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13.9%</w:t>
            </w:r>
          </w:p>
        </w:tc>
      </w:tr>
      <w:tr>
        <w:trPr>
          <w:trHeight w:val="283" w:hRule="atLeast"/>
        </w:trPr>
        <w:tc>
          <w:tcPr>
            <w:tcW w:w="737" w:type="dxa"/>
            <w:vMerge w:val="restart"/>
            <w:vAlign w:val="center"/>
          </w:tcPr>
          <w:p>
            <w:pPr>
              <w:pStyle w:val="0"/>
              <w:autoSpaceDE w:val="0"/>
              <w:autoSpaceDN w:val="0"/>
              <w:spacing w:line="240" w:lineRule="exact"/>
              <w:ind w:left="-50" w:right="-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宮島</w:t>
            </w:r>
          </w:p>
        </w:tc>
        <w:tc>
          <w:tcPr>
            <w:tcW w:w="1559"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kern w:val="24"/>
                <w:sz w:val="18"/>
              </w:rPr>
            </w:pPr>
            <w:r>
              <w:rPr>
                <w:rFonts w:hint="eastAsia" w:ascii="ＭＳ Ｐゴシック" w:hAnsi="ＭＳ Ｐゴシック" w:eastAsia="ＭＳ Ｐゴシック"/>
                <w:kern w:val="24"/>
                <w:sz w:val="18"/>
              </w:rPr>
              <w:t>認知症高齢者数</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82</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87</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90</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93</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79</w:t>
            </w:r>
          </w:p>
        </w:tc>
      </w:tr>
      <w:tr>
        <w:trPr>
          <w:trHeight w:val="283" w:hRule="atLeast"/>
        </w:trPr>
        <w:tc>
          <w:tcPr>
            <w:tcW w:w="737" w:type="dxa"/>
            <w:vMerge w:val="continue"/>
            <w:vAlign w:val="center"/>
          </w:tcPr>
          <w:p>
            <w:pPr>
              <w:pStyle w:val="0"/>
              <w:autoSpaceDE w:val="0"/>
              <w:autoSpaceDN w:val="0"/>
              <w:spacing w:line="240" w:lineRule="exact"/>
              <w:jc w:val="center"/>
              <w:rPr>
                <w:rFonts w:hint="default" w:ascii="ＭＳ Ｐゴシック" w:hAnsi="ＭＳ Ｐゴシック" w:eastAsia="ＭＳ Ｐゴシック"/>
                <w:kern w:val="24"/>
                <w:sz w:val="18"/>
              </w:rPr>
            </w:pPr>
          </w:p>
        </w:tc>
        <w:tc>
          <w:tcPr>
            <w:tcW w:w="155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spacing w:line="240" w:lineRule="exact"/>
              <w:ind w:left="-110" w:leftChars="-50" w:right="-110" w:rightChars="-50"/>
              <w:jc w:val="center"/>
              <w:rPr>
                <w:rFonts w:hint="default" w:ascii="ＭＳ Ｐゴシック" w:hAnsi="ＭＳ Ｐゴシック" w:eastAsia="ＭＳ Ｐゴシック"/>
                <w:w w:val="75"/>
                <w:kern w:val="24"/>
                <w:sz w:val="18"/>
              </w:rPr>
            </w:pPr>
            <w:r>
              <w:rPr>
                <w:rFonts w:hint="eastAsia" w:ascii="ＭＳ Ｐゴシック" w:hAnsi="ＭＳ Ｐゴシック" w:eastAsia="ＭＳ Ｐゴシック"/>
                <w:w w:val="70"/>
                <w:kern w:val="24"/>
                <w:sz w:val="18"/>
              </w:rPr>
              <w:t>高齢者数に占める割合</w:t>
            </w:r>
          </w:p>
        </w:tc>
        <w:tc>
          <w:tcPr>
            <w:tcW w:w="89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11.8%</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12.9%</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13.4%</w:t>
            </w:r>
          </w:p>
        </w:tc>
        <w:tc>
          <w:tcPr>
            <w:tcW w:w="891"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14.1%</w:t>
            </w:r>
          </w:p>
        </w:tc>
        <w:tc>
          <w:tcPr>
            <w:tcW w:w="891" w:type="dxa"/>
            <w:tcBorders>
              <w:top w:val="single" w:color="auto" w:sz="4" w:space="0"/>
              <w:left w:val="nil"/>
              <w:bottom w:val="single" w:color="auto" w:sz="4" w:space="0"/>
              <w:right w:val="doub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14.6%</w:t>
            </w:r>
          </w:p>
        </w:tc>
        <w:tc>
          <w:tcPr>
            <w:tcW w:w="891" w:type="dxa"/>
            <w:tcBorders>
              <w:top w:val="single" w:color="auto" w:sz="4" w:space="0"/>
              <w:left w:val="doub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spacing w:line="240" w:lineRule="exact"/>
              <w:jc w:val="right"/>
              <w:rPr>
                <w:rFonts w:hint="default" w:ascii="ＭＳ Ｐゴシック" w:hAnsi="ＭＳ Ｐゴシック" w:eastAsia="ＭＳ Ｐゴシック"/>
                <w:sz w:val="18"/>
              </w:rPr>
            </w:pPr>
            <w:r>
              <w:rPr>
                <w:rFonts w:hint="eastAsia" w:ascii="ＭＳ Ｐゴシック" w:hAnsi="ＭＳ Ｐゴシック" w:eastAsia="ＭＳ Ｐゴシック"/>
                <w:sz w:val="18"/>
              </w:rPr>
              <w:t>17.1%</w:t>
            </w:r>
          </w:p>
        </w:tc>
      </w:tr>
    </w:tbl>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pStyle w:val="0"/>
        <w:widowControl w:val="1"/>
        <w:autoSpaceDE w:val="0"/>
        <w:autoSpaceDN w:val="0"/>
        <w:jc w:val="left"/>
        <w:rPr>
          <w:rFonts w:hint="default" w:ascii="ＭＳ ゴシック" w:hAnsi="ＭＳ ゴシック" w:eastAsia="ＭＳ ゴシック"/>
          <w:sz w:val="21"/>
          <w:shd w:val="clear" w:color="auto" w:themeFill="background1" w:themeFillTint="FF" w:themeFillShade="FF"/>
        </w:rPr>
      </w:pPr>
    </w:p>
    <w:p>
      <w:pPr>
        <w:rPr>
          <w:rFonts w:hint="eastAsia" w:ascii="ＭＳ 明朝" w:hAnsi="ＭＳ 明朝" w:eastAsia="ＭＳ 明朝"/>
          <w:b w:val="0"/>
          <w:sz w:val="24"/>
        </w:rPr>
        <w:sectPr>
          <w:headerReference r:id="rId6" w:type="default"/>
          <w:footerReference r:id="rId8" w:type="even"/>
          <w:footerReference r:id="rId9" w:type="default"/>
          <w:footerReference r:id="rId7" w:type="first"/>
          <w:pgSz w:w="11906" w:h="16838"/>
          <w:pgMar w:top="1417" w:right="1417" w:bottom="1417" w:left="1417" w:header="851" w:footer="851" w:gutter="0"/>
          <w:pgBorders w:zOrder="front" w:display="allPages" w:offsetFrom="page"/>
          <w:cols w:space="720"/>
          <w:titlePg w:val="1"/>
          <w:textDirection w:val="lrTb"/>
          <w:docGrid w:type="lines" w:linePitch="340"/>
        </w:sectPr>
      </w:pPr>
    </w:p>
    <w:p>
      <w:pPr>
        <w:pStyle w:val="0"/>
        <w:rPr>
          <w:rFonts w:hint="default" w:ascii="ＭＳ ゴシック" w:hAnsi="ＭＳ ゴシック" w:eastAsia="ＭＳ ゴシック"/>
          <w:b w:val="1"/>
          <w:color w:val="auto"/>
          <w:sz w:val="21"/>
        </w:rPr>
      </w:pPr>
      <w:r>
        <w:rPr>
          <w:rFonts w:hint="eastAsia" w:ascii="ＭＳ ゴシック" w:hAnsi="ＭＳ ゴシック" w:eastAsia="ＭＳ ゴシック"/>
          <w:b w:val="0"/>
          <w:color w:val="auto"/>
          <w:sz w:val="21"/>
        </w:rPr>
        <w:t>別紙（審査基準）</w:t>
      </w:r>
    </w:p>
    <w:p>
      <w:pPr>
        <w:pStyle w:val="0"/>
        <w:rPr>
          <w:rFonts w:hint="default" w:ascii="ＭＳ ゴシック" w:hAnsi="ＭＳ ゴシック" w:eastAsia="ＭＳ ゴシック"/>
          <w:b w:val="1"/>
          <w:color w:val="auto"/>
          <w:sz w:val="21"/>
        </w:rPr>
      </w:pPr>
    </w:p>
    <w:p>
      <w:pPr>
        <w:pStyle w:val="0"/>
        <w:rPr>
          <w:rFonts w:hint="default" w:ascii="ＭＳ ゴシック" w:hAnsi="ＭＳ ゴシック" w:eastAsia="ＭＳ ゴシック"/>
          <w:b w:val="1"/>
          <w:color w:val="auto"/>
          <w:sz w:val="21"/>
        </w:rPr>
      </w:pPr>
      <w:r>
        <w:rPr>
          <w:rFonts w:hint="eastAsia" w:ascii="ＭＳ 明朝" w:hAnsi="ＭＳ 明朝" w:eastAsia="ＭＳ 明朝"/>
          <w:b w:val="0"/>
          <w:color w:val="auto"/>
          <w:sz w:val="21"/>
        </w:rPr>
        <w:t>　</w:t>
      </w:r>
      <w:r>
        <w:rPr>
          <w:rFonts w:hint="eastAsia" w:ascii="ＭＳ ゴシック" w:hAnsi="ＭＳ ゴシック" w:eastAsia="ＭＳ ゴシック"/>
          <w:b w:val="0"/>
          <w:color w:val="auto"/>
          <w:sz w:val="21"/>
        </w:rPr>
        <w:t>以下の内容に留意して、提案してください。</w:t>
      </w:r>
    </w:p>
    <w:tbl>
      <w:tblPr>
        <w:tblStyle w:val="11"/>
        <w:tblW w:w="963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600"/>
        <w:gridCol w:w="2521"/>
        <w:gridCol w:w="6509"/>
      </w:tblGrid>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番</w:t>
            </w:r>
            <w:r>
              <w:rPr>
                <w:rStyle w:val="41"/>
                <w:rFonts w:hint="eastAsia" w:ascii="ＭＳ ゴシック" w:hAnsi="ＭＳ ゴシック" w:eastAsia="ＭＳ ゴシック"/>
                <w:b w:val="0"/>
                <w:i w:val="0"/>
                <w:smallCaps w:val="0"/>
                <w:sz w:val="21"/>
              </w:rPr>
              <w:t>号</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審</w:t>
            </w:r>
            <w:r>
              <w:rPr>
                <w:rStyle w:val="41"/>
                <w:rFonts w:hint="eastAsia" w:ascii="ＭＳ ゴシック" w:hAnsi="ＭＳ ゴシック" w:eastAsia="ＭＳ ゴシック"/>
                <w:b w:val="0"/>
                <w:i w:val="0"/>
                <w:smallCaps w:val="0"/>
                <w:sz w:val="21"/>
              </w:rPr>
              <w:t>　査　項　目</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themeFill="accent1" w:themeFillTint="33" w:themeFillShade="FF"/>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評</w:t>
            </w:r>
            <w:r>
              <w:rPr>
                <w:rStyle w:val="41"/>
                <w:rFonts w:hint="eastAsia" w:ascii="ＭＳ ゴシック" w:hAnsi="ＭＳ ゴシック" w:eastAsia="ＭＳ ゴシック"/>
                <w:b w:val="0"/>
                <w:i w:val="0"/>
                <w:smallCaps w:val="0"/>
                <w:sz w:val="21"/>
              </w:rPr>
              <w:t>　価　項　目</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１</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事業所運営の基本方針</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本公募に応募した理由</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事業所の理念・基本方針</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自己評価や外部評価及び情報の公開に関する考え方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２</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法</w:t>
            </w:r>
            <w:r>
              <w:rPr>
                <w:rStyle w:val="41"/>
                <w:rFonts w:hint="eastAsia" w:ascii="ＭＳ ゴシック" w:hAnsi="ＭＳ ゴシック" w:eastAsia="ＭＳ ゴシック"/>
                <w:b w:val="0"/>
                <w:i w:val="0"/>
                <w:smallCaps w:val="0"/>
                <w:sz w:val="21"/>
              </w:rPr>
              <w:t>令等の遵守</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法令等の遵守についての考え方（労働関係法令を含む）</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個人情報保護についての考え方（従業員の守秘義務など）</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過去の運営指導の結果に対する取組</w:t>
            </w:r>
          </w:p>
        </w:tc>
      </w:tr>
      <w:tr>
        <w:trPr>
          <w:trHeight w:val="450" w:hRule="atLeast"/>
        </w:trPr>
        <w:tc>
          <w:tcPr>
            <w:tcW w:w="60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３</w:t>
            </w:r>
          </w:p>
        </w:tc>
        <w:tc>
          <w:tcPr>
            <w:tcW w:w="2521"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営実績</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事業を運営するに足りる実績・経験</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４</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人材確保・人材育成等</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人材確保の取組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従業員の人材育成に関する取組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管理者に求める資質・経験</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働きやすい環境づくり</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５</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運</w:t>
            </w:r>
            <w:r>
              <w:rPr>
                <w:rStyle w:val="41"/>
                <w:rFonts w:hint="eastAsia" w:ascii="ＭＳ ゴシック" w:hAnsi="ＭＳ ゴシック" w:eastAsia="ＭＳ ゴシック"/>
                <w:b w:val="0"/>
                <w:i w:val="0"/>
                <w:smallCaps w:val="0"/>
                <w:sz w:val="21"/>
              </w:rPr>
              <w:t>営管理</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危機管理体制</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事故防止・安全対策及び事故発生時の対応</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苦情処理のための体制</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災害・感染症流行時における対応方針</w:t>
            </w:r>
          </w:p>
        </w:tc>
      </w:tr>
      <w:tr>
        <w:trPr>
          <w:trHeight w:val="450" w:hRule="atLeast"/>
        </w:trPr>
        <w:tc>
          <w:tcPr>
            <w:tcW w:w="280" w:type="dxa"/>
            <w:vMerge w:val="restart"/>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jc w:val="center"/>
              <w:rPr>
                <w:rFonts w:hint="default" w:ascii="ＭＳ ゴシック" w:hAnsi="ＭＳ ゴシック" w:eastAsia="ＭＳ ゴシック"/>
                <w:b w:val="0"/>
                <w:i w:val="0"/>
                <w:smallCaps w:val="0"/>
                <w:sz w:val="22"/>
              </w:rPr>
            </w:pPr>
            <w:r>
              <w:rPr>
                <w:rFonts w:hint="eastAsia" w:ascii="ＭＳ ゴシック" w:hAnsi="ＭＳ ゴシック" w:eastAsia="ＭＳ ゴシック"/>
                <w:b w:val="0"/>
                <w:i w:val="0"/>
                <w:smallCaps w:val="0"/>
                <w:sz w:val="22"/>
              </w:rPr>
              <w:t>６</w:t>
            </w:r>
          </w:p>
        </w:tc>
        <w:tc>
          <w:tcPr>
            <w:tcW w:w="2521" w:type="dxa"/>
            <w:vMerge w:val="restart"/>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r>
              <w:rPr>
                <w:rFonts w:hint="eastAsia" w:ascii="ＭＳ ゴシック" w:hAnsi="ＭＳ ゴシック" w:eastAsia="ＭＳ ゴシック"/>
                <w:b w:val="0"/>
                <w:i w:val="0"/>
                <w:smallCaps w:val="0"/>
                <w:sz w:val="22"/>
              </w:rPr>
              <w:t>利用者への対応</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①</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具体的な介護の方針</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Style w:val="41"/>
                <w:rFonts w:hint="default"/>
                <w:b w:val="0"/>
                <w:i w:val="0"/>
                <w:smallCaps w:val="0"/>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利用者等への人権及び尊厳に対する考え方</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rPr>
            </w:pPr>
            <w:r>
              <w:rPr>
                <w:rFonts w:hint="eastAsia" w:ascii="ＭＳ ゴシック" w:hAnsi="ＭＳ ゴシック" w:eastAsia="ＭＳ ゴシック"/>
                <w:b w:val="0"/>
                <w:i w:val="0"/>
                <w:smallCaps w:val="0"/>
                <w:sz w:val="21"/>
              </w:rPr>
              <w:t>③</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ターミナルケアに対する考え方</w:t>
            </w:r>
          </w:p>
        </w:tc>
      </w:tr>
      <w:tr>
        <w:trPr>
          <w:trHeight w:val="450" w:hRule="atLeast"/>
        </w:trPr>
        <w:tc>
          <w:tcPr>
            <w:tcW w:w="280"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nil"/>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認知症ケアに対する考え方</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center"/>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７</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事業の適正な運営</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サービスの質の向上への取組</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default" w:ascii="ＭＳ ゴシック" w:hAnsi="ＭＳ ゴシック" w:eastAsia="ＭＳ ゴシック"/>
                <w:b w:val="0"/>
                <w:i w:val="0"/>
                <w:smallCaps w:val="0"/>
                <w:sz w:val="22"/>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運営推進会議の設置に関する考え方</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Style w:val="40"/>
                <w:rFonts w:hint="eastAsia" w:ascii="ＭＳ ゴシック" w:hAnsi="ＭＳ ゴシック" w:eastAsia="ＭＳ ゴシック"/>
                <w:b w:val="0"/>
                <w:i w:val="0"/>
                <w:smallCaps w:val="0"/>
                <w:sz w:val="21"/>
              </w:rPr>
              <w:t>③</w:t>
            </w:r>
            <w:r>
              <w:rPr>
                <w:rStyle w:val="40"/>
                <w:rFonts w:hint="eastAsia" w:ascii="ＭＳ ゴシック" w:hAnsi="ＭＳ ゴシック" w:eastAsia="ＭＳ ゴシック"/>
                <w:b w:val="0"/>
                <w:i w:val="0"/>
                <w:smallCaps w:val="0"/>
                <w:sz w:val="21"/>
              </w:rPr>
              <w:t xml:space="preserve"> </w:t>
            </w:r>
            <w:r>
              <w:rPr>
                <w:rStyle w:val="41"/>
                <w:rFonts w:hint="eastAsia" w:ascii="ＭＳ ゴシック" w:hAnsi="ＭＳ ゴシック" w:eastAsia="ＭＳ ゴシック"/>
                <w:b w:val="0"/>
                <w:i w:val="0"/>
                <w:smallCaps w:val="0"/>
                <w:sz w:val="21"/>
              </w:rPr>
              <w:t>利用者の確保に関する考え方</w:t>
            </w:r>
          </w:p>
        </w:tc>
      </w:tr>
      <w:tr>
        <w:trPr>
          <w:trHeight w:val="450" w:hRule="atLeast"/>
        </w:trPr>
        <w:tc>
          <w:tcPr>
            <w:tcW w:w="28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b w:val="0"/>
                <w:i w:val="0"/>
                <w:smallCaps w:val="0"/>
                <w:sz w:val="21"/>
              </w:rPr>
            </w:pPr>
            <w:r>
              <w:rPr>
                <w:rFonts w:hint="eastAsia" w:ascii="ＭＳ ゴシック" w:hAnsi="ＭＳ ゴシック" w:eastAsia="ＭＳ ゴシック"/>
                <w:b w:val="0"/>
                <w:i w:val="0"/>
                <w:smallCaps w:val="0"/>
                <w:sz w:val="21"/>
              </w:rPr>
              <w:t>④</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他のサービス事業者及び関係機関との連携</w:t>
            </w:r>
          </w:p>
        </w:tc>
      </w:tr>
      <w:tr>
        <w:trPr>
          <w:trHeight w:val="450" w:hRule="atLeast"/>
        </w:trPr>
        <w:tc>
          <w:tcPr>
            <w:tcW w:w="600"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８</w:t>
            </w:r>
          </w:p>
        </w:tc>
        <w:tc>
          <w:tcPr>
            <w:tcW w:w="2521" w:type="dxa"/>
            <w:vMerge w:val="restart"/>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ascii="ＭＳ ゴシック" w:hAnsi="ＭＳ ゴシック" w:eastAsia="ＭＳ ゴシック"/>
              </w:rPr>
            </w:pPr>
            <w:r>
              <w:rPr>
                <w:rFonts w:hint="eastAsia" w:ascii="ＭＳ ゴシック" w:hAnsi="ＭＳ ゴシック" w:eastAsia="ＭＳ ゴシック"/>
              </w:rPr>
              <w:t>地域連携</w:t>
            </w: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ascii="ＭＳ ゴシック" w:hAnsi="ＭＳ ゴシック" w:eastAsia="ＭＳ ゴシック"/>
              </w:rPr>
            </w:pPr>
            <w:r>
              <w:rPr>
                <w:rFonts w:hint="eastAsia" w:ascii="ＭＳ ゴシック" w:hAnsi="ＭＳ ゴシック" w:eastAsia="ＭＳ ゴシック"/>
                <w:b w:val="0"/>
                <w:i w:val="0"/>
                <w:smallCaps w:val="0"/>
                <w:sz w:val="21"/>
              </w:rPr>
              <w:t>①</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地域住民・地域団体への説明</w:t>
            </w:r>
          </w:p>
        </w:tc>
      </w:tr>
      <w:tr>
        <w:trPr>
          <w:trHeight w:val="450" w:hRule="atLeast"/>
        </w:trPr>
        <w:tc>
          <w:tcPr>
            <w:tcW w:w="600"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2521" w:type="dxa"/>
            <w:vMerge w:val="continue"/>
            <w:tcBorders>
              <w:top w:val="single" w:color="000000" w:sz="8" w:space="0"/>
              <w:left w:val="single" w:color="000000" w:sz="8" w:space="0"/>
              <w:bottom w:val="single" w:color="000000" w:sz="8" w:space="0"/>
              <w:right w:val="single" w:color="000000" w:sz="8" w:space="0"/>
              <w:tl2br w:val="none" w:color="auto" w:sz="0" w:space="0"/>
              <w:tr2bl w:val="none" w:color="auto" w:sz="0" w:space="0"/>
            </w:tcBorders>
            <w:vAlign w:val="center"/>
          </w:tcPr>
          <w:p>
            <w:pPr>
              <w:pStyle w:val="0"/>
              <w:rPr>
                <w:rFonts w:hint="eastAsia"/>
              </w:rPr>
            </w:pPr>
          </w:p>
        </w:tc>
        <w:tc>
          <w:tcPr>
            <w:tcW w:w="6510" w:type="dxa"/>
            <w:tcBorders>
              <w:top w:val="single" w:color="000000" w:sz="8" w:space="0"/>
              <w:left w:val="single" w:color="000000" w:sz="8" w:space="0"/>
              <w:bottom w:val="single" w:color="000000" w:sz="8" w:space="0"/>
              <w:right w:val="single" w:color="000000" w:sz="8" w:space="0"/>
              <w:tl2br w:val="none" w:color="auto" w:sz="0" w:space="0"/>
              <w:tr2bl w:val="none" w:color="auto" w:sz="0" w:space="0"/>
            </w:tcBorders>
            <w:tcMar>
              <w:top w:w="0" w:type="dxa"/>
              <w:left w:w="10" w:type="dxa"/>
              <w:bottom w:w="0" w:type="dxa"/>
              <w:right w:w="10" w:type="dxa"/>
            </w:tcMar>
            <w:vAlign w:val="center"/>
          </w:tcPr>
          <w:p>
            <w:pPr>
              <w:pStyle w:val="0"/>
              <w:ind w:firstLine="105" w:firstLineChars="50"/>
              <w:jc w:val="left"/>
              <w:rPr>
                <w:rFonts w:hint="eastAsia"/>
              </w:rPr>
            </w:pPr>
            <w:r>
              <w:rPr>
                <w:rFonts w:hint="eastAsia" w:ascii="ＭＳ ゴシック" w:hAnsi="ＭＳ ゴシック" w:eastAsia="ＭＳ ゴシック"/>
                <w:b w:val="0"/>
                <w:i w:val="0"/>
                <w:smallCaps w:val="0"/>
                <w:sz w:val="21"/>
              </w:rPr>
              <w:t>②</w:t>
            </w:r>
            <w:r>
              <w:rPr>
                <w:rFonts w:hint="eastAsia" w:ascii="ＭＳ ゴシック" w:hAnsi="ＭＳ ゴシック" w:eastAsia="ＭＳ ゴシック"/>
                <w:b w:val="0"/>
                <w:i w:val="0"/>
                <w:smallCaps w:val="0"/>
                <w:sz w:val="21"/>
              </w:rPr>
              <w:t xml:space="preserve"> </w:t>
            </w:r>
            <w:r>
              <w:rPr>
                <w:rFonts w:hint="eastAsia" w:ascii="ＭＳ ゴシック" w:hAnsi="ＭＳ ゴシック" w:eastAsia="ＭＳ ゴシック"/>
                <w:b w:val="0"/>
                <w:i w:val="0"/>
                <w:smallCaps w:val="0"/>
                <w:sz w:val="21"/>
              </w:rPr>
              <w:t>地域連携のための取組に対する考え方や独自の取組</w:t>
            </w:r>
          </w:p>
        </w:tc>
      </w:tr>
    </w:tbl>
    <w:p>
      <w:pPr>
        <w:pStyle w:val="0"/>
        <w:rPr>
          <w:rFonts w:hint="default" w:ascii="ＭＳ ゴシック" w:hAnsi="ＭＳ ゴシック" w:eastAsia="ＭＳ ゴシック"/>
          <w:b w:val="1"/>
          <w:sz w:val="21"/>
        </w:rPr>
      </w:pPr>
    </w:p>
    <w:p>
      <w:pPr>
        <w:pStyle w:val="0"/>
        <w:rPr>
          <w:rFonts w:hint="default" w:ascii="ＭＳ ゴシック" w:hAnsi="ＭＳ ゴシック" w:eastAsia="ＭＳ ゴシック"/>
          <w:b w:val="1"/>
          <w:sz w:val="24"/>
        </w:rPr>
      </w:pPr>
    </w:p>
    <w:sectPr>
      <w:type w:val="continuous"/>
      <w:pgSz w:w="11906" w:h="16838"/>
      <w:pgMar w:top="1134" w:right="1134" w:bottom="1134" w:left="1134" w:header="850" w:footer="624" w:gutter="0"/>
      <w:pgBorders w:zOrder="front" w:display="allPages" w:offsetFrom="page"/>
      <w:cols w:space="720"/>
      <w:titlePg w:val="1"/>
      <w:textDirection w:val="lrTb"/>
      <w:docGrid w:type="lines" w:linePitch="34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pitch w:val="fixed"/>
    <w:sig w:usb0="00000000" w:usb1="00000000" w:usb2="00000000" w:usb3="00000000" w:csb0="00020001" w:csb1="00000000"/>
  </w:font>
  <w:font w:name="BIZ UDPゴシック">
    <w:panose1 w:val="00000000000000000000"/>
    <w:charset w:val="80"/>
    <w:family w:val="modern"/>
    <w:pitch w:val="fixed"/>
    <w:sig w:usb0="00000000" w:usb1="00000000" w:usb2="00000000" w:usb3="00000000" w:csb0="00020001"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2"/>
            <w:rFonts w:hint="eastAsia"/>
          </w:rPr>
          <w:t>1</w:t>
        </w:r>
        <w:r>
          <w:rPr>
            <w:rFonts w:hint="eastAsia"/>
          </w:rPr>
          <w:fldChar w:fldCharType="end"/>
        </w:r>
      </w:p>
    </w:sdtContent>
  </w:sdt>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50"/>
      <w:rPr>
        <w:rStyle w:val="22"/>
        <w:rFonts w:hint="default"/>
      </w:rPr>
    </w:pPr>
    <w:r>
      <w:rPr>
        <w:rFonts w:hint="eastAsia"/>
      </w:rPr>
      <w:fldChar w:fldCharType="begin"/>
    </w:r>
    <w:r>
      <w:rPr>
        <w:rFonts w:hint="eastAsia"/>
      </w:rPr>
      <w:instrText xml:space="preserve">PAGE  \* MERGEFORMAT </w:instrText>
    </w:r>
    <w:r>
      <w:rPr>
        <w:rFonts w:hint="eastAsia"/>
      </w:rPr>
      <w:fldChar w:fldCharType="end"/>
    </w:r>
  </w:p>
  <w:p>
    <w:pPr>
      <w:pStyle w:val="21"/>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framePr w:wrap="around" w:hAnchor="margin" w:vAnchor="text" w:x="-4" w:y="50"/>
      <w:rPr>
        <w:rStyle w:val="22"/>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2"/>
        <w:rFonts w:hint="default"/>
      </w:rPr>
      <w:t>2</w:t>
    </w:r>
    <w:r>
      <w:rPr>
        <w:rFonts w:hint="eastAsia"/>
      </w:rPr>
      <w:fldChar w:fldCharType="end"/>
    </w:r>
  </w:p>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6DF85F00"/>
    <w:lvl w:ilvl="0" w:tplc="FFFFFFFF">
      <w:numFmt w:val="bullet"/>
      <w:lvlText w:val=""/>
      <w:lvlJc w:val="left"/>
      <w:pPr>
        <w:ind w:left="440" w:hanging="440"/>
      </w:pPr>
      <w:rPr>
        <w:rFonts w:hint="default" w:ascii="Wingdings" w:hAnsi="Wingdings"/>
        <w:color w:val="808080" w:themeColor="background1" w:themeShade="80"/>
        <w:sz w:val="22"/>
      </w:rPr>
    </w:lvl>
    <w:lvl w:ilvl="1" w:tplc="FFFFFFFF">
      <w:numFmt w:val="bullet"/>
      <w:lvlText w:val=""/>
      <w:lvlJc w:val="left"/>
      <w:pPr>
        <w:ind w:left="880" w:hanging="440"/>
      </w:pPr>
      <w:rPr>
        <w:rFonts w:hint="default" w:ascii="Wingdings" w:hAnsi="Wingdings"/>
      </w:rPr>
    </w:lvl>
    <w:lvl w:ilvl="2" w:tplc="FFFFFFFF">
      <w:numFmt w:val="bullet"/>
      <w:lvlText w:val=""/>
      <w:lvlJc w:val="left"/>
      <w:pPr>
        <w:ind w:left="1320" w:hanging="440"/>
      </w:pPr>
      <w:rPr>
        <w:rFonts w:hint="default" w:ascii="Wingdings" w:hAnsi="Wingdings"/>
      </w:rPr>
    </w:lvl>
    <w:lvl w:ilvl="3" w:tplc="E946BEE0">
      <w:numFmt w:val="bullet"/>
      <w:pStyle w:val="35"/>
      <w:lvlText w:val=""/>
      <w:lvlJc w:val="left"/>
      <w:pPr>
        <w:ind w:left="440" w:hanging="440"/>
      </w:pPr>
      <w:rPr>
        <w:rFonts w:hint="default" w:ascii="Wingdings" w:hAnsi="Wingdings"/>
        <w:color w:val="808080" w:themeColor="background1" w:themeShade="80"/>
        <w:sz w:val="22"/>
      </w:rPr>
    </w:lvl>
    <w:lvl w:ilvl="4" w:tplc="FFFFFFFF">
      <w:numFmt w:val="bullet"/>
      <w:lvlText w:val=""/>
      <w:lvlJc w:val="left"/>
      <w:pPr>
        <w:ind w:left="2200" w:hanging="440"/>
      </w:pPr>
      <w:rPr>
        <w:rFonts w:hint="default" w:ascii="Wingdings" w:hAnsi="Wingdings"/>
      </w:rPr>
    </w:lvl>
    <w:lvl w:ilvl="5" w:tplc="FFFFFFFF">
      <w:numFmt w:val="bullet"/>
      <w:lvlText w:val=""/>
      <w:lvlJc w:val="left"/>
      <w:pPr>
        <w:ind w:left="2640" w:hanging="440"/>
      </w:pPr>
      <w:rPr>
        <w:rFonts w:hint="default" w:ascii="Wingdings" w:hAnsi="Wingdings"/>
      </w:rPr>
    </w:lvl>
    <w:lvl w:ilvl="6" w:tplc="FFFFFFFF">
      <w:numFmt w:val="bullet"/>
      <w:lvlText w:val=""/>
      <w:lvlJc w:val="left"/>
      <w:pPr>
        <w:ind w:left="3080" w:hanging="440"/>
      </w:pPr>
      <w:rPr>
        <w:rFonts w:hint="default" w:ascii="Wingdings" w:hAnsi="Wingdings"/>
      </w:rPr>
    </w:lvl>
    <w:lvl w:ilvl="7" w:tplc="FFFFFFFF">
      <w:numFmt w:val="bullet"/>
      <w:lvlText w:val=""/>
      <w:lvlJc w:val="left"/>
      <w:pPr>
        <w:ind w:left="3520" w:hanging="440"/>
      </w:pPr>
      <w:rPr>
        <w:rFonts w:hint="default" w:ascii="Wingdings" w:hAnsi="Wingdings"/>
      </w:rPr>
    </w:lvl>
    <w:lvl w:ilvl="8" w:tplc="FFFFFFFF">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44"/>
  <w:drawingGridHorizontalSpacing w:val="210"/>
  <w:drawingGridVerticalSpacing w:val="34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paragraph" w:styleId="1">
    <w:name w:val="heading 1"/>
    <w:basedOn w:val="0"/>
    <w:next w:val="0"/>
    <w:link w:val="30"/>
    <w:uiPriority w:val="0"/>
    <w:qFormat/>
    <w:pPr>
      <w:keepNext w:val="1"/>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0"/>
      <w15:collapsed w:val="0"/>
    </w:pPr>
    <w:rPr>
      <w:rFonts w:asciiTheme="majorHAnsi" w:hAnsiTheme="majorHAnsi" w:eastAsiaTheme="majorEastAsia"/>
      <w:dstrike w:val="0"/>
      <w:color w:val="auto"/>
      <w:w w:val="100"/>
      <w:sz w:val="24"/>
      <w:highlight w:val="none"/>
      <w:u w:val="none" w:color="auto"/>
      <w:bdr w:val="none" w:color="auto" w:sz="0" w:space="0"/>
      <w:shd w:val="clear" w:color="auto" w:fill="auto"/>
      <w:vertAlign w:val="baseline"/>
      <w:em w:val="none"/>
    </w:rPr>
  </w:style>
  <w:style w:type="paragraph" w:styleId="3">
    <w:name w:val="heading 3"/>
    <w:basedOn w:val="0"/>
    <w:next w:val="18"/>
    <w:link w:val="0"/>
    <w:uiPriority w:val="0"/>
    <w:qFormat/>
    <w:pPr>
      <w:keepNext w:val="1"/>
      <w:autoSpaceDE w:val="0"/>
      <w:autoSpaceDN w:val="0"/>
      <w:ind w:left="100" w:leftChars="100"/>
      <w:outlineLvl w:val="2"/>
    </w:pPr>
    <w:rPr>
      <w:rFonts w:ascii="ＭＳ ゴシック" w:hAnsi="ＭＳ ゴシック" w:eastAsia="ＭＳ ゴシック"/>
      <w:sz w:val="2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0"/>
    <w:uiPriority w:val="0"/>
    <w:pPr>
      <w:jc w:val="center"/>
    </w:pPr>
    <w:rPr>
      <w:rFonts w:ascii="ＭＳ Ｐゴシック" w:hAnsi="ＭＳ Ｐゴシック" w:eastAsia="ＭＳ Ｐゴシック"/>
      <w:sz w:val="22"/>
    </w:rPr>
  </w:style>
  <w:style w:type="paragraph" w:styleId="17">
    <w:name w:val="Closing"/>
    <w:basedOn w:val="0"/>
    <w:next w:val="17"/>
    <w:link w:val="0"/>
    <w:uiPriority w:val="0"/>
    <w:pPr>
      <w:jc w:val="right"/>
    </w:pPr>
    <w:rPr>
      <w:rFonts w:ascii="ＭＳ Ｐゴシック" w:hAnsi="ＭＳ Ｐゴシック" w:eastAsia="ＭＳ Ｐゴシック"/>
      <w:sz w:val="22"/>
    </w:rPr>
  </w:style>
  <w:style w:type="paragraph" w:styleId="18" w:customStyle="1">
    <w:name w:val="標準３"/>
    <w:basedOn w:val="0"/>
    <w:next w:val="18"/>
    <w:link w:val="0"/>
    <w:uiPriority w:val="0"/>
    <w:pPr>
      <w:autoSpaceDE w:val="0"/>
      <w:autoSpaceDN w:val="0"/>
      <w:ind w:left="300" w:leftChars="300"/>
    </w:pPr>
    <w:rPr>
      <w:rFonts w:ascii="ＭＳ 明朝" w:hAnsi="ＭＳ 明朝"/>
      <w:sz w:val="24"/>
    </w:rPr>
  </w:style>
  <w:style w:type="paragraph" w:styleId="19" w:customStyle="1">
    <w:name w:val="図表"/>
    <w:basedOn w:val="0"/>
    <w:next w:val="19"/>
    <w:link w:val="0"/>
    <w:uiPriority w:val="0"/>
    <w:pPr>
      <w:autoSpaceDE w:val="0"/>
      <w:autoSpaceDN w:val="0"/>
      <w:ind w:left="40" w:leftChars="40" w:right="40" w:rightChars="40"/>
      <w:jc w:val="center"/>
    </w:pPr>
    <w:rPr>
      <w:rFonts w:ascii="ＭＳ ゴシック" w:hAnsi="ＭＳ ゴシック" w:eastAsia="ＭＳ ゴシック"/>
      <w:sz w:val="22"/>
    </w:rPr>
  </w:style>
  <w:style w:type="character" w:styleId="20">
    <w:name w:val="Hyperlink"/>
    <w:next w:val="20"/>
    <w:link w:val="0"/>
    <w:uiPriority w:val="0"/>
    <w:rPr>
      <w:color w:val="0000FF"/>
      <w:u w:val="single" w:color="auto"/>
    </w:rPr>
  </w:style>
  <w:style w:type="paragraph" w:styleId="21">
    <w:name w:val="footer"/>
    <w:basedOn w:val="0"/>
    <w:next w:val="21"/>
    <w:link w:val="0"/>
    <w:uiPriority w:val="0"/>
    <w:pPr>
      <w:tabs>
        <w:tab w:val="center" w:leader="none" w:pos="4252"/>
        <w:tab w:val="right" w:leader="none" w:pos="8504"/>
      </w:tabs>
      <w:snapToGrid w:val="0"/>
    </w:pPr>
  </w:style>
  <w:style w:type="character" w:styleId="22">
    <w:name w:val="page number"/>
    <w:basedOn w:val="10"/>
    <w:next w:val="22"/>
    <w:link w:val="0"/>
    <w:uiPriority w:val="0"/>
  </w:style>
  <w:style w:type="paragraph" w:styleId="23">
    <w:name w:val="header"/>
    <w:basedOn w:val="0"/>
    <w:next w:val="23"/>
    <w:link w:val="0"/>
    <w:uiPriority w:val="0"/>
    <w:pPr>
      <w:tabs>
        <w:tab w:val="center" w:leader="none" w:pos="4252"/>
        <w:tab w:val="right" w:leader="none" w:pos="8504"/>
      </w:tabs>
      <w:snapToGrid w:val="0"/>
    </w:pPr>
  </w:style>
  <w:style w:type="paragraph" w:styleId="24">
    <w:name w:val="Balloon Text"/>
    <w:basedOn w:val="0"/>
    <w:next w:val="24"/>
    <w:link w:val="25"/>
    <w:uiPriority w:val="0"/>
    <w:semiHidden/>
    <w:rPr>
      <w:rFonts w:ascii="Arial" w:hAnsi="Arial" w:eastAsia="ＭＳ ゴシック"/>
      <w:sz w:val="18"/>
    </w:rPr>
  </w:style>
  <w:style w:type="character" w:styleId="25" w:customStyle="1">
    <w:name w:val="吹き出し (文字)"/>
    <w:next w:val="25"/>
    <w:link w:val="24"/>
    <w:uiPriority w:val="0"/>
    <w:rPr>
      <w:rFonts w:ascii="Arial" w:hAnsi="Arial" w:eastAsia="ＭＳ ゴシック"/>
      <w:kern w:val="2"/>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paragraph" w:styleId="28" w:customStyle="1">
    <w:name w:val="基本"/>
    <w:basedOn w:val="0"/>
    <w:next w:val="28"/>
    <w:link w:val="29"/>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both"/>
      <w:outlineLvl w:val="9"/>
    </w:pPr>
    <w:rPr>
      <w:rFonts w:ascii="ＭＳ ゴシック" w:hAnsi="ＭＳ ゴシック" w:eastAsia="ＭＳ ゴシック"/>
      <w:dstrike w:val="0"/>
      <w:color w:val="000000"/>
      <w:w w:val="100"/>
      <w:sz w:val="21"/>
      <w:highlight w:val="none"/>
      <w:u w:val="none" w:color="auto"/>
      <w:bdr w:val="none" w:color="auto" w:sz="0" w:space="0"/>
      <w:shd w:val="clear" w:color="auto" w:fill="auto"/>
      <w:vertAlign w:val="baseline"/>
      <w:em w:val="none"/>
    </w:rPr>
  </w:style>
  <w:style w:type="character" w:styleId="29" w:customStyle="1">
    <w:name w:val="基本 (文字)"/>
    <w:basedOn w:val="10"/>
    <w:next w:val="29"/>
    <w:link w:val="28"/>
    <w:uiPriority w:val="0"/>
    <w:rPr>
      <w:rFonts w:ascii="ＭＳ ゴシック" w:hAnsi="ＭＳ ゴシック" w:eastAsia="ＭＳ ゴシック"/>
      <w:color w:val="000000"/>
    </w:rPr>
  </w:style>
  <w:style w:type="character" w:styleId="30" w:customStyle="1">
    <w:name w:val="見出し 1 (文字)"/>
    <w:basedOn w:val="10"/>
    <w:next w:val="30"/>
    <w:link w:val="1"/>
    <w:uiPriority w:val="0"/>
    <w:rPr>
      <w:rFonts w:asciiTheme="majorHAnsi" w:hAnsiTheme="majorHAnsi" w:eastAsiaTheme="majorEastAsia"/>
      <w:sz w:val="24"/>
    </w:rPr>
  </w:style>
  <w:style w:type="paragraph" w:styleId="31" w:customStyle="1">
    <w:name w:val="(1)"/>
    <w:basedOn w:val="1"/>
    <w:next w:val="31"/>
    <w:link w:val="32"/>
    <w:uiPriority w:val="0"/>
    <w:qFormat/>
    <w:pPr>
      <w:spacing w:after="66" w:afterLines="20" w:afterAutospacing="0" w:line="440" w:lineRule="exact"/>
      <w:ind w:left="220" w:leftChars="100"/>
    </w:pPr>
    <w:rPr>
      <w:rFonts w:ascii="BIZ UDPゴシック" w:hAnsi="BIZ UDPゴシック" w:eastAsia="BIZ UDPゴシック"/>
      <w:b w:val="1"/>
      <w:sz w:val="28"/>
    </w:rPr>
  </w:style>
  <w:style w:type="character" w:styleId="32" w:customStyle="1">
    <w:name w:val="(1) (文字)"/>
    <w:basedOn w:val="30"/>
    <w:next w:val="32"/>
    <w:link w:val="31"/>
    <w:uiPriority w:val="0"/>
    <w:rPr>
      <w:rFonts w:ascii="BIZ UDPゴシック" w:hAnsi="BIZ UDPゴシック" w:eastAsia="BIZ UDPゴシック"/>
      <w:b w:val="1"/>
      <w:sz w:val="28"/>
    </w:rPr>
  </w:style>
  <w:style w:type="paragraph" w:styleId="33">
    <w:name w:val="List Paragraph"/>
    <w:basedOn w:val="0"/>
    <w:next w:val="33"/>
    <w:link w:val="3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HG丸ｺﾞｼｯｸM-PRO" w:hAnsi="HG丸ｺﾞｼｯｸM-PRO" w:eastAsia="HG丸ｺﾞｼｯｸM-PRO"/>
      <w:dstrike w:val="0"/>
      <w:color w:val="auto"/>
      <w:w w:val="100"/>
      <w:sz w:val="22"/>
      <w:highlight w:val="none"/>
      <w:u w:val="none" w:color="auto"/>
      <w:bdr w:val="none" w:color="auto" w:sz="0" w:space="0"/>
      <w:shd w:val="clear" w:color="auto" w:fill="auto"/>
      <w:vertAlign w:val="baseline"/>
      <w:em w:val="none"/>
    </w:rPr>
  </w:style>
  <w:style w:type="character" w:styleId="34" w:customStyle="1">
    <w:name w:val="リスト段落 (文字)"/>
    <w:next w:val="34"/>
    <w:link w:val="33"/>
    <w:uiPriority w:val="0"/>
    <w:rPr>
      <w:rFonts w:ascii="HG丸ｺﾞｼｯｸM-PRO" w:hAnsi="HG丸ｺﾞｼｯｸM-PRO" w:eastAsia="HG丸ｺﾞｼｯｸM-PRO"/>
      <w:sz w:val="22"/>
    </w:rPr>
  </w:style>
  <w:style w:type="paragraph" w:styleId="35" w:customStyle="1">
    <w:name w:val="箇条書き3"/>
    <w:basedOn w:val="33"/>
    <w:next w:val="35"/>
    <w:link w:val="36"/>
    <w:uiPriority w:val="0"/>
    <w:qFormat/>
    <w:pPr>
      <w:numPr>
        <w:ilvl w:val="3"/>
        <w:numId w:val="1"/>
      </w:numPr>
      <w:autoSpaceDE w:val="0"/>
      <w:autoSpaceDN w:val="0"/>
      <w:spacing w:line="380" w:lineRule="exact"/>
      <w:ind w:left="1102" w:leftChars="300" w:hanging="442"/>
    </w:pPr>
    <w:rPr>
      <w:rFonts w:ascii="BIZ UDゴシック" w:hAnsi="BIZ UDゴシック" w:eastAsia="BIZ UDゴシック"/>
    </w:rPr>
  </w:style>
  <w:style w:type="character" w:styleId="36" w:customStyle="1">
    <w:name w:val="箇条書き3 (文字)"/>
    <w:basedOn w:val="34"/>
    <w:next w:val="36"/>
    <w:link w:val="35"/>
    <w:uiPriority w:val="0"/>
    <w:rPr>
      <w:rFonts w:ascii="BIZ UDゴシック" w:hAnsi="BIZ UDゴシック" w:eastAsia="BIZ UDゴシック"/>
      <w:sz w:val="22"/>
    </w:rPr>
  </w:style>
  <w:style w:type="paragraph" w:styleId="37" w:customStyle="1">
    <w:name w:val="箇条書き2"/>
    <w:basedOn w:val="35"/>
    <w:next w:val="37"/>
    <w:link w:val="38"/>
    <w:uiPriority w:val="0"/>
    <w:qFormat/>
    <w:pPr>
      <w:ind w:left="882" w:leftChars="200"/>
    </w:pPr>
  </w:style>
  <w:style w:type="character" w:styleId="38" w:customStyle="1">
    <w:name w:val="箇条書き2 (文字)"/>
    <w:basedOn w:val="36"/>
    <w:next w:val="38"/>
    <w:link w:val="37"/>
    <w:uiPriority w:val="0"/>
    <w:rPr>
      <w:rFonts w:ascii="BIZ UDゴシック" w:hAnsi="BIZ UDゴシック" w:eastAsia="BIZ UDゴシック"/>
      <w:sz w:val="22"/>
    </w:rPr>
  </w:style>
  <w:style w:type="character" w:styleId="39" w:customStyle="1">
    <w:name w:val="図表 (文字)"/>
    <w:basedOn w:val="10"/>
    <w:next w:val="39"/>
    <w:link w:val="19"/>
    <w:uiPriority w:val="0"/>
    <w:rPr>
      <w:rFonts w:ascii="BIZ UDPゴシック" w:hAnsi="BIZ UDPゴシック" w:eastAsia="BIZ UDPゴシック"/>
      <w:color w:val="000000" w:themeColor="text1"/>
    </w:rPr>
  </w:style>
  <w:style w:type="character" w:styleId="40" w:customStyle="1">
    <w:name w:val="font11"/>
    <w:basedOn w:val="10"/>
    <w:next w:val="40"/>
    <w:link w:val="0"/>
    <w:uiPriority w:val="0"/>
    <w:qFormat/>
    <w:rPr>
      <w:rFonts w:ascii="HG丸ｺﾞｼｯｸM-PRO" w:hAnsi="HG丸ｺﾞｼｯｸM-PRO" w:eastAsia="HG丸ｺﾞｼｯｸM-PRO"/>
      <w:sz w:val="16"/>
    </w:rPr>
  </w:style>
  <w:style w:type="character" w:styleId="41" w:customStyle="1">
    <w:name w:val="font12"/>
    <w:basedOn w:val="10"/>
    <w:next w:val="41"/>
    <w:link w:val="0"/>
    <w:uiPriority w:val="0"/>
    <w:qFormat/>
    <w:rPr>
      <w:rFonts w:ascii="ＭＳ ゴシック" w:hAnsi="ＭＳ ゴシック" w:eastAsia="ＭＳ ゴシック"/>
      <w:sz w:val="22"/>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人件費1"/>
    <w:basedOn w:val="11"/>
    <w:next w:val="4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シンプル 1）"/>
    <w:basedOn w:val="11"/>
    <w:next w:val="4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footer" Target="footer3.xml" /><Relationship Id="rId10" Type="http://schemas.openxmlformats.org/officeDocument/2006/relationships/image" Target="media/image1.png" /><Relationship Id="rId11"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1587</TotalTime>
  <Pages>12</Pages>
  <Words>1061</Words>
  <Characters>10297</Characters>
  <Application>JUST Note</Application>
  <Lines>34126</Lines>
  <Paragraphs>1078</Paragraphs>
  <CharactersWithSpaces>10521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令和４年度地域密着型サービス整備事業者募集要項（ＧＨ）</dc:title>
  <dc:creator>廿日市市</dc:creator>
  <cp:lastModifiedBy>Yamane Hiroko</cp:lastModifiedBy>
  <cp:lastPrinted>2024-10-25T00:26:09Z</cp:lastPrinted>
  <dcterms:created xsi:type="dcterms:W3CDTF">2019-12-01T23:56:00Z</dcterms:created>
  <dcterms:modified xsi:type="dcterms:W3CDTF">2024-10-30T03:31:28Z</dcterms:modified>
  <cp:revision>79</cp:revision>
</cp:coreProperties>
</file>